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1026" w:type="dxa"/>
        <w:tblLook w:val="04A0" w:firstRow="1" w:lastRow="0" w:firstColumn="1" w:lastColumn="0" w:noHBand="0" w:noVBand="1"/>
      </w:tblPr>
      <w:tblGrid>
        <w:gridCol w:w="5103"/>
        <w:gridCol w:w="284"/>
        <w:gridCol w:w="5245"/>
      </w:tblGrid>
      <w:tr w:rsidR="00223757" w:rsidTr="00C7782A">
        <w:tc>
          <w:tcPr>
            <w:tcW w:w="10632" w:type="dxa"/>
            <w:gridSpan w:val="3"/>
          </w:tcPr>
          <w:p w:rsidR="00223757" w:rsidRPr="00C7782A" w:rsidRDefault="00223757" w:rsidP="00C7782A">
            <w:pPr>
              <w:pStyle w:val="Pa12"/>
              <w:spacing w:line="240" w:lineRule="auto"/>
              <w:jc w:val="both"/>
              <w:rPr>
                <w:rStyle w:val="A211"/>
                <w:rFonts w:ascii="新細明體" w:eastAsia="新細明體" w:hAnsi="新細明體"/>
                <w:b/>
                <w:sz w:val="32"/>
                <w:szCs w:val="32"/>
              </w:rPr>
            </w:pPr>
            <w:r w:rsidRPr="00C7782A">
              <w:rPr>
                <w:rStyle w:val="A13"/>
                <w:rFonts w:ascii="新細明體" w:eastAsia="新細明體" w:hAnsi="新細明體"/>
                <w:b/>
                <w:sz w:val="32"/>
                <w:szCs w:val="32"/>
              </w:rPr>
              <w:t>獨立核數師報告</w:t>
            </w:r>
          </w:p>
          <w:p w:rsidR="00223757" w:rsidRPr="00C7782A" w:rsidRDefault="00223757" w:rsidP="00C7782A">
            <w:pPr>
              <w:spacing w:line="240" w:lineRule="auto"/>
              <w:rPr>
                <w:b/>
                <w:sz w:val="32"/>
                <w:szCs w:val="32"/>
              </w:rPr>
            </w:pPr>
            <w:r w:rsidRPr="00C7782A">
              <w:rPr>
                <w:b/>
                <w:sz w:val="32"/>
                <w:szCs w:val="32"/>
              </w:rPr>
              <w:t>INDEPENDENT AUDITOR'S REPORT</w:t>
            </w:r>
          </w:p>
          <w:p w:rsidR="00F86B46" w:rsidRPr="00C7782A" w:rsidRDefault="00F86B46" w:rsidP="00C7782A">
            <w:pPr>
              <w:spacing w:line="240" w:lineRule="auto"/>
              <w:rPr>
                <w:b/>
                <w:sz w:val="32"/>
                <w:szCs w:val="32"/>
              </w:rPr>
            </w:pPr>
          </w:p>
        </w:tc>
      </w:tr>
      <w:tr w:rsidR="00223757" w:rsidTr="00C7782A">
        <w:tc>
          <w:tcPr>
            <w:tcW w:w="5103" w:type="dxa"/>
          </w:tcPr>
          <w:p w:rsidR="00223757" w:rsidRPr="00C64096" w:rsidRDefault="00223757" w:rsidP="00C7782A">
            <w:pPr>
              <w:pStyle w:val="Pa12"/>
              <w:spacing w:line="240" w:lineRule="auto"/>
              <w:jc w:val="both"/>
              <w:rPr>
                <w:rStyle w:val="a6"/>
                <w:rFonts w:ascii="新細明體" w:eastAsia="新細明體" w:hAnsi="新細明體" w:cs="細明體"/>
                <w:b w:val="0"/>
                <w:sz w:val="20"/>
                <w:szCs w:val="20"/>
                <w:u w:val="single"/>
              </w:rPr>
            </w:pPr>
            <w:r w:rsidRPr="00C64096">
              <w:rPr>
                <w:rStyle w:val="A211"/>
                <w:rFonts w:ascii="新細明體" w:eastAsia="新細明體" w:hAnsi="新細明體"/>
                <w:color w:val="auto"/>
                <w:u w:val="single"/>
              </w:rPr>
              <w:t>致</w:t>
            </w:r>
            <w:r w:rsidRPr="00C64096">
              <w:rPr>
                <w:rStyle w:val="headerthin1"/>
                <w:rFonts w:ascii="新細明體" w:eastAsia="新細明體" w:hAnsi="新細明體"/>
                <w:color w:val="auto"/>
                <w:sz w:val="20"/>
                <w:szCs w:val="20"/>
                <w:u w:val="single"/>
              </w:rPr>
              <w:t>香港藝術中心監督</w:t>
            </w:r>
            <w:r w:rsidRPr="00C64096">
              <w:rPr>
                <w:rStyle w:val="headerthin1"/>
                <w:rFonts w:ascii="新細明體" w:eastAsia="新細明體" w:hAnsi="新細明體" w:cs="細明體" w:hint="eastAsia"/>
                <w:color w:val="auto"/>
                <w:sz w:val="20"/>
                <w:szCs w:val="20"/>
                <w:u w:val="single"/>
              </w:rPr>
              <w:t>團</w:t>
            </w:r>
            <w:r w:rsidRPr="00C64096">
              <w:rPr>
                <w:rStyle w:val="A211"/>
                <w:rFonts w:ascii="新細明體" w:eastAsia="新細明體" w:hAnsi="新細明體"/>
                <w:color w:val="auto"/>
                <w:u w:val="single"/>
              </w:rPr>
              <w:t>全體</w:t>
            </w:r>
            <w:r w:rsidRPr="00C64096">
              <w:rPr>
                <w:rStyle w:val="a6"/>
                <w:rFonts w:ascii="新細明體" w:eastAsia="新細明體" w:hAnsi="新細明體" w:cs="Arial"/>
                <w:b w:val="0"/>
                <w:sz w:val="20"/>
                <w:szCs w:val="20"/>
                <w:u w:val="single"/>
              </w:rPr>
              <w:t>成</w:t>
            </w:r>
            <w:r w:rsidRPr="00C64096">
              <w:rPr>
                <w:rStyle w:val="a6"/>
                <w:rFonts w:ascii="新細明體" w:eastAsia="新細明體" w:hAnsi="新細明體" w:cs="細明體" w:hint="eastAsia"/>
                <w:b w:val="0"/>
                <w:sz w:val="20"/>
                <w:szCs w:val="20"/>
                <w:u w:val="single"/>
              </w:rPr>
              <w:t>員</w:t>
            </w:r>
          </w:p>
          <w:p w:rsidR="00223757" w:rsidRPr="00C64096" w:rsidRDefault="00223757" w:rsidP="00C7782A">
            <w:pPr>
              <w:pStyle w:val="Pa12"/>
              <w:spacing w:line="240" w:lineRule="auto"/>
              <w:jc w:val="both"/>
              <w:rPr>
                <w:rFonts w:ascii="新細明體" w:eastAsia="新細明體" w:hAnsi="新細明體"/>
                <w:sz w:val="20"/>
                <w:szCs w:val="20"/>
              </w:rPr>
            </w:pPr>
            <w:r w:rsidRPr="00C64096">
              <w:rPr>
                <w:rStyle w:val="a6"/>
                <w:rFonts w:ascii="新細明體" w:eastAsia="新細明體" w:hAnsi="新細明體" w:cs="細明體"/>
                <w:color w:val="333333"/>
                <w:sz w:val="20"/>
                <w:szCs w:val="20"/>
              </w:rPr>
              <w:t>(</w:t>
            </w:r>
            <w:r w:rsidRPr="00C64096">
              <w:rPr>
                <w:rFonts w:ascii="新細明體" w:eastAsia="新細明體" w:hAnsi="新細明體"/>
                <w:sz w:val="20"/>
                <w:szCs w:val="20"/>
              </w:rPr>
              <w:t>根據香港藝術中心條例</w:t>
            </w:r>
            <w:r w:rsidR="00727CF9" w:rsidRPr="002D0190">
              <w:rPr>
                <w:rFonts w:ascii="新細明體" w:eastAsia="新細明體" w:hAnsi="新細明體" w:hint="eastAsia"/>
                <w:sz w:val="20"/>
              </w:rPr>
              <w:t>一九</w:t>
            </w:r>
            <w:r w:rsidR="00727CF9">
              <w:rPr>
                <w:rFonts w:ascii="新細明體" w:eastAsia="新細明體" w:hAnsi="新細明體" w:hint="eastAsia"/>
                <w:sz w:val="20"/>
              </w:rPr>
              <w:t>七四</w:t>
            </w:r>
            <w:r w:rsidRPr="00C64096">
              <w:rPr>
                <w:rFonts w:ascii="新細明體" w:eastAsia="新細明體" w:hAnsi="新細明體"/>
                <w:sz w:val="20"/>
                <w:szCs w:val="20"/>
              </w:rPr>
              <w:t>年版</w:t>
            </w:r>
            <w:r w:rsidRPr="00C64096">
              <w:rPr>
                <w:rStyle w:val="A231"/>
                <w:rFonts w:ascii="新細明體" w:eastAsia="新細明體" w:hAnsi="新細明體"/>
                <w:sz w:val="20"/>
                <w:szCs w:val="20"/>
              </w:rPr>
              <w:t>於香港</w:t>
            </w:r>
            <w:r w:rsidRPr="00C64096">
              <w:rPr>
                <w:rFonts w:ascii="新細明體" w:eastAsia="新細明體" w:hAnsi="新細明體"/>
                <w:sz w:val="20"/>
                <w:szCs w:val="20"/>
              </w:rPr>
              <w:t>成立</w:t>
            </w:r>
            <w:r w:rsidRPr="00C64096">
              <w:rPr>
                <w:rStyle w:val="A72"/>
                <w:rFonts w:ascii="新細明體" w:eastAsia="新細明體" w:hAnsi="新細明體"/>
                <w:sz w:val="20"/>
                <w:szCs w:val="20"/>
              </w:rPr>
              <w:t>之</w:t>
            </w:r>
            <w:r w:rsidRPr="00C64096">
              <w:rPr>
                <w:rFonts w:ascii="新細明體" w:eastAsia="新細明體" w:hAnsi="新細明體" w:cs="細明體" w:hint="eastAsia"/>
                <w:sz w:val="20"/>
                <w:szCs w:val="20"/>
              </w:rPr>
              <w:t>法人組織</w:t>
            </w:r>
            <w:r w:rsidRPr="00C64096">
              <w:rPr>
                <w:rFonts w:ascii="新細明體" w:eastAsia="新細明體" w:hAnsi="新細明體" w:cs="細明體"/>
                <w:sz w:val="20"/>
                <w:szCs w:val="20"/>
              </w:rPr>
              <w:t>)</w:t>
            </w:r>
          </w:p>
          <w:p w:rsidR="00223757" w:rsidRPr="00C64096" w:rsidRDefault="00223757" w:rsidP="00C7782A">
            <w:pPr>
              <w:tabs>
                <w:tab w:val="left" w:pos="4003"/>
              </w:tabs>
              <w:spacing w:line="240" w:lineRule="auto"/>
              <w:rPr>
                <w:rFonts w:ascii="新細明體" w:eastAsia="新細明體" w:hAnsi="新細明體"/>
                <w:sz w:val="20"/>
              </w:rPr>
            </w:pPr>
          </w:p>
        </w:tc>
        <w:tc>
          <w:tcPr>
            <w:tcW w:w="284" w:type="dxa"/>
          </w:tcPr>
          <w:p w:rsidR="00223757" w:rsidRPr="00C7782A" w:rsidRDefault="00223757" w:rsidP="00C7782A">
            <w:pPr>
              <w:spacing w:line="240" w:lineRule="auto"/>
              <w:rPr>
                <w:highlight w:val="yellow"/>
              </w:rPr>
            </w:pPr>
          </w:p>
        </w:tc>
        <w:tc>
          <w:tcPr>
            <w:tcW w:w="5245" w:type="dxa"/>
          </w:tcPr>
          <w:p w:rsidR="00223757" w:rsidRPr="00C7782A" w:rsidRDefault="00223757" w:rsidP="00C7782A">
            <w:pPr>
              <w:tabs>
                <w:tab w:val="left" w:pos="4003"/>
              </w:tabs>
              <w:spacing w:line="240" w:lineRule="auto"/>
              <w:rPr>
                <w:rFonts w:eastAsia="SimSun"/>
                <w:sz w:val="20"/>
                <w:u w:val="single"/>
              </w:rPr>
            </w:pPr>
            <w:r w:rsidRPr="00C7782A">
              <w:rPr>
                <w:rFonts w:eastAsia="SimSun"/>
                <w:sz w:val="20"/>
                <w:u w:val="single"/>
              </w:rPr>
              <w:t>TO THE BOARD OF GOVERNORS OF HONG KONG ARTS CENTRE</w:t>
            </w:r>
          </w:p>
          <w:p w:rsidR="00223757" w:rsidRPr="00C7782A" w:rsidRDefault="00223757" w:rsidP="00C7782A">
            <w:pPr>
              <w:tabs>
                <w:tab w:val="left" w:pos="4003"/>
              </w:tabs>
              <w:spacing w:line="240" w:lineRule="auto"/>
              <w:rPr>
                <w:rFonts w:eastAsia="SimSun"/>
                <w:sz w:val="20"/>
              </w:rPr>
            </w:pPr>
            <w:r w:rsidRPr="00C7782A">
              <w:rPr>
                <w:rFonts w:eastAsia="SimSun" w:hint="eastAsia"/>
                <w:sz w:val="20"/>
              </w:rPr>
              <w:t>(incorporated in Hong Kong under the Hong Kong Arts Centre Ordinance 1974)</w:t>
            </w:r>
          </w:p>
          <w:p w:rsidR="00223757" w:rsidRPr="00C7782A" w:rsidRDefault="00223757" w:rsidP="00C7782A">
            <w:pPr>
              <w:spacing w:line="240" w:lineRule="auto"/>
              <w:rPr>
                <w:sz w:val="20"/>
                <w:highlight w:val="yellow"/>
              </w:rPr>
            </w:pPr>
          </w:p>
        </w:tc>
      </w:tr>
      <w:tr w:rsidR="00223757" w:rsidTr="00C7782A">
        <w:tc>
          <w:tcPr>
            <w:tcW w:w="5103" w:type="dxa"/>
          </w:tcPr>
          <w:p w:rsidR="00223757" w:rsidRDefault="007E7D1B" w:rsidP="007E7D1B">
            <w:pPr>
              <w:pStyle w:val="ab"/>
              <w:jc w:val="both"/>
              <w:rPr>
                <w:rFonts w:ascii="新細明體" w:hAnsi="新細明體"/>
                <w:sz w:val="20"/>
                <w:highlight w:val="yellow"/>
              </w:rPr>
            </w:pPr>
            <w:r w:rsidRPr="006F7A45">
              <w:rPr>
                <w:rFonts w:ascii="STXihei" w:hAnsi="STXihei" w:cs="Arial" w:hint="eastAsia"/>
                <w:b/>
                <w:bCs/>
                <w:sz w:val="20"/>
                <w:szCs w:val="20"/>
                <w:lang w:eastAsia="zh-TW"/>
              </w:rPr>
              <w:t>意見</w:t>
            </w:r>
          </w:p>
          <w:p w:rsidR="007E7D1B" w:rsidRDefault="007E7D1B" w:rsidP="007E7D1B">
            <w:pPr>
              <w:pStyle w:val="ab"/>
              <w:jc w:val="both"/>
              <w:rPr>
                <w:rFonts w:ascii="新細明體" w:hAnsi="新細明體" w:cs="MHeiHK-Medium-Identity-H"/>
                <w:sz w:val="20"/>
                <w:szCs w:val="20"/>
                <w:lang w:val="en-US" w:eastAsia="zh-TW"/>
              </w:rPr>
            </w:pPr>
          </w:p>
          <w:p w:rsidR="007E7D1B" w:rsidRPr="00E02377" w:rsidRDefault="007E7D1B" w:rsidP="007E7D1B">
            <w:pPr>
              <w:pStyle w:val="ab"/>
              <w:jc w:val="both"/>
              <w:rPr>
                <w:rFonts w:ascii="新細明體" w:hAnsi="新細明體" w:cs="MHeiHK-Medium-Identity-H"/>
                <w:sz w:val="20"/>
                <w:szCs w:val="20"/>
                <w:lang w:val="en-US" w:eastAsia="zh-TW"/>
              </w:rPr>
            </w:pPr>
            <w:r w:rsidRPr="00E02377">
              <w:rPr>
                <w:rFonts w:ascii="新細明體" w:hAnsi="新細明體" w:cs="MHeiHK-Medium-Identity-H" w:hint="eastAsia"/>
                <w:sz w:val="20"/>
                <w:szCs w:val="20"/>
                <w:lang w:val="en-US" w:eastAsia="zh-TW"/>
              </w:rPr>
              <w:t>本核數師</w:t>
            </w:r>
            <w:r w:rsidRPr="006F7A45">
              <w:rPr>
                <w:rFonts w:ascii="STXihei" w:hAnsi="STXihei" w:cs="SimSun" w:hint="eastAsia"/>
                <w:sz w:val="20"/>
                <w:szCs w:val="20"/>
                <w:lang w:eastAsia="zh-TW"/>
              </w:rPr>
              <w:t>（以下簡稱「我們」）</w:t>
            </w:r>
            <w:r w:rsidRPr="00E02377">
              <w:rPr>
                <w:rFonts w:ascii="新細明體" w:hAnsi="新細明體" w:cs="MHeiHK-Medium-Identity-H" w:hint="eastAsia"/>
                <w:sz w:val="20"/>
                <w:szCs w:val="20"/>
                <w:lang w:val="en-US" w:eastAsia="zh-TW"/>
              </w:rPr>
              <w:t>已審核列載於第</w:t>
            </w:r>
            <w:r>
              <w:rPr>
                <w:rFonts w:ascii="新細明體" w:hAnsi="新細明體" w:cs="MHeiHK-Medium-Identity-H" w:hint="eastAsia"/>
                <w:sz w:val="20"/>
                <w:szCs w:val="20"/>
                <w:lang w:val="en-US" w:eastAsia="zh-TW"/>
              </w:rPr>
              <w:t>四</w:t>
            </w:r>
            <w:r w:rsidRPr="00E02377">
              <w:rPr>
                <w:rFonts w:ascii="新細明體" w:hAnsi="新細明體" w:cs="MHeiHK-Medium-Identity-H" w:hint="eastAsia"/>
                <w:sz w:val="20"/>
                <w:szCs w:val="20"/>
                <w:lang w:val="en-US" w:eastAsia="zh-TW"/>
              </w:rPr>
              <w:t>至</w:t>
            </w:r>
            <w:r w:rsidR="00004DAC">
              <w:rPr>
                <w:rFonts w:ascii="新細明體" w:hAnsi="新細明體" w:cs="MHeiHK-Medium-Identity-H" w:hint="eastAsia"/>
                <w:sz w:val="20"/>
                <w:szCs w:val="20"/>
                <w:lang w:val="en-US" w:eastAsia="zh-TW"/>
              </w:rPr>
              <w:t>四</w:t>
            </w:r>
            <w:r w:rsidRPr="00004DAC">
              <w:rPr>
                <w:rFonts w:ascii="新細明體" w:hAnsi="新細明體" w:cs="MHeiHK-Medium-Identity-H" w:hint="eastAsia"/>
                <w:sz w:val="20"/>
                <w:szCs w:val="20"/>
                <w:lang w:val="en-US" w:eastAsia="zh-TW"/>
              </w:rPr>
              <w:t>十</w:t>
            </w:r>
            <w:r w:rsidRPr="00E02377">
              <w:rPr>
                <w:rFonts w:ascii="新細明體" w:hAnsi="新細明體" w:cs="MHeiHK-Medium-Identity-H" w:hint="eastAsia"/>
                <w:sz w:val="20"/>
                <w:szCs w:val="20"/>
                <w:lang w:val="en-US" w:eastAsia="zh-TW"/>
              </w:rPr>
              <w:t>頁</w:t>
            </w:r>
            <w:r>
              <w:rPr>
                <w:rFonts w:ascii="新細明體" w:hAnsi="新細明體" w:cs="MHeiHK-Medium-Identity-H" w:hint="eastAsia"/>
                <w:sz w:val="20"/>
                <w:szCs w:val="20"/>
                <w:lang w:val="en-US" w:eastAsia="zh-TW"/>
              </w:rPr>
              <w:t>的</w:t>
            </w:r>
            <w:r w:rsidRPr="00302705">
              <w:rPr>
                <w:rStyle w:val="headerthin1"/>
                <w:rFonts w:ascii="新細明體" w:hAnsi="新細明體"/>
                <w:color w:val="000000"/>
                <w:sz w:val="20"/>
                <w:szCs w:val="20"/>
                <w:lang w:val="en-US" w:eastAsia="zh-TW"/>
              </w:rPr>
              <w:t>香港藝術中心</w:t>
            </w:r>
            <w:r w:rsidRPr="00E02377">
              <w:rPr>
                <w:rFonts w:ascii="新細明體" w:hAnsi="新細明體" w:cs="MHeiHK-Medium-Identity-H" w:hint="eastAsia"/>
                <w:sz w:val="20"/>
                <w:szCs w:val="20"/>
                <w:lang w:val="en-US" w:eastAsia="zh-TW"/>
              </w:rPr>
              <w:t>（</w:t>
            </w:r>
            <w:r w:rsidRPr="006F7A45">
              <w:rPr>
                <w:rFonts w:ascii="STXihei" w:hAnsi="STXihei" w:cs="SimSun" w:hint="eastAsia"/>
                <w:sz w:val="20"/>
                <w:szCs w:val="20"/>
                <w:lang w:eastAsia="zh-TW"/>
              </w:rPr>
              <w:t>以下簡稱</w:t>
            </w:r>
            <w:r w:rsidRPr="00E02377">
              <w:rPr>
                <w:rFonts w:ascii="新細明體" w:hAnsi="新細明體" w:cs="MHeiHK-Medium-Identity-H" w:hint="eastAsia"/>
                <w:sz w:val="20"/>
                <w:szCs w:val="20"/>
                <w:lang w:val="en-US" w:eastAsia="zh-TW"/>
              </w:rPr>
              <w:t>「貴</w:t>
            </w:r>
            <w:r w:rsidRPr="00E02377">
              <w:rPr>
                <w:rStyle w:val="headerthin1"/>
                <w:rFonts w:ascii="新細明體" w:hAnsi="新細明體"/>
                <w:color w:val="auto"/>
                <w:sz w:val="20"/>
                <w:szCs w:val="20"/>
                <w:lang w:val="en-US" w:eastAsia="zh-TW"/>
              </w:rPr>
              <w:t>中心</w:t>
            </w:r>
            <w:r w:rsidRPr="00E02377">
              <w:rPr>
                <w:rFonts w:ascii="新細明體" w:hAnsi="新細明體" w:cs="MHeiHK-Medium-Identity-H" w:hint="eastAsia"/>
                <w:sz w:val="20"/>
                <w:szCs w:val="20"/>
                <w:lang w:val="en-US" w:eastAsia="zh-TW"/>
              </w:rPr>
              <w:t>」）及其附屬公司（以下</w:t>
            </w:r>
            <w:r w:rsidR="00081F76" w:rsidRPr="00302705">
              <w:rPr>
                <w:rFonts w:ascii="STXihei" w:hAnsi="STXihei" w:cs="SimSun" w:hint="eastAsia"/>
                <w:color w:val="000000"/>
                <w:sz w:val="20"/>
                <w:szCs w:val="20"/>
                <w:lang w:eastAsia="zh-TW"/>
              </w:rPr>
              <w:t>合</w:t>
            </w:r>
            <w:r w:rsidRPr="00E02377">
              <w:rPr>
                <w:rFonts w:ascii="新細明體" w:hAnsi="新細明體" w:cs="MHeiHK-Medium-Identity-H" w:hint="eastAsia"/>
                <w:sz w:val="20"/>
                <w:szCs w:val="20"/>
                <w:lang w:val="en-US" w:eastAsia="zh-TW"/>
              </w:rPr>
              <w:t>稱「貴集團」）的</w:t>
            </w:r>
            <w:r w:rsidRPr="00297A5B">
              <w:rPr>
                <w:rFonts w:ascii="STXihei" w:hAnsi="STXihei" w:cs="SimSun" w:hint="eastAsia"/>
                <w:sz w:val="20"/>
                <w:szCs w:val="20"/>
                <w:lang w:eastAsia="zh-TW"/>
              </w:rPr>
              <w:t>綜合</w:t>
            </w:r>
            <w:r w:rsidRPr="00E02377">
              <w:rPr>
                <w:rFonts w:ascii="新細明體" w:hAnsi="新細明體" w:cs="MHeiHK-Medium-Identity-H" w:hint="eastAsia"/>
                <w:sz w:val="20"/>
                <w:szCs w:val="20"/>
                <w:lang w:val="en-US" w:eastAsia="zh-TW"/>
              </w:rPr>
              <w:t>財務報表，此財務報表包括於二零一</w:t>
            </w:r>
            <w:r w:rsidR="00F323B7" w:rsidRPr="002D0190">
              <w:rPr>
                <w:rFonts w:ascii="新細明體" w:hAnsi="新細明體" w:hint="eastAsia"/>
                <w:sz w:val="20"/>
              </w:rPr>
              <w:t>八</w:t>
            </w:r>
            <w:r w:rsidRPr="00E02377">
              <w:rPr>
                <w:rFonts w:ascii="新細明體" w:hAnsi="新細明體" w:cs="MHeiHK-Medium-Identity-H" w:hint="eastAsia"/>
                <w:sz w:val="20"/>
                <w:szCs w:val="20"/>
                <w:lang w:val="en-US" w:eastAsia="zh-TW"/>
              </w:rPr>
              <w:t>年六月三十日</w:t>
            </w:r>
            <w:r w:rsidR="00E95D47" w:rsidRPr="00302705">
              <w:rPr>
                <w:rFonts w:ascii="新細明體" w:hAnsi="新細明體" w:cs="MHeiHK-Medium-Identity-H" w:hint="eastAsia"/>
                <w:color w:val="000000"/>
                <w:sz w:val="20"/>
                <w:szCs w:val="20"/>
                <w:lang w:val="en-US" w:eastAsia="zh-TW"/>
              </w:rPr>
              <w:t>貴集團</w:t>
            </w:r>
            <w:r w:rsidRPr="00E02377">
              <w:rPr>
                <w:rFonts w:ascii="新細明體" w:hAnsi="新細明體" w:cs="MHeiHK-Medium-Identity-H" w:hint="eastAsia"/>
                <w:sz w:val="20"/>
                <w:szCs w:val="20"/>
                <w:lang w:val="en-US" w:eastAsia="zh-TW"/>
              </w:rPr>
              <w:t>的</w:t>
            </w:r>
            <w:r w:rsidR="007D7A3B" w:rsidRPr="00297A5B">
              <w:rPr>
                <w:rFonts w:ascii="STXihei" w:hAnsi="STXihei" w:cs="SimSun" w:hint="eastAsia"/>
                <w:sz w:val="20"/>
                <w:szCs w:val="20"/>
                <w:lang w:eastAsia="zh-TW"/>
              </w:rPr>
              <w:t>綜合</w:t>
            </w:r>
            <w:r w:rsidR="00F0780A" w:rsidRPr="00302705">
              <w:rPr>
                <w:rFonts w:ascii="新細明體" w:hAnsi="新細明體" w:cs="MHeiHK-Medium-Identity-H" w:hint="eastAsia"/>
                <w:color w:val="000000"/>
                <w:sz w:val="20"/>
                <w:szCs w:val="20"/>
                <w:lang w:val="en-US" w:eastAsia="zh-TW"/>
              </w:rPr>
              <w:t>資產負債表</w:t>
            </w:r>
            <w:r w:rsidRPr="00E02377">
              <w:rPr>
                <w:rFonts w:ascii="新細明體" w:hAnsi="新細明體" w:cs="MHeiHK-Medium-Identity-H" w:hint="eastAsia"/>
                <w:sz w:val="20"/>
                <w:szCs w:val="20"/>
                <w:lang w:val="en-US" w:eastAsia="zh-TW"/>
              </w:rPr>
              <w:t>與截至該日止年度</w:t>
            </w:r>
            <w:r w:rsidRPr="00302705">
              <w:rPr>
                <w:rFonts w:ascii="新細明體" w:hAnsi="新細明體" w:cs="MHeiHK-Medium-Identity-H" w:hint="eastAsia"/>
                <w:color w:val="000000"/>
                <w:sz w:val="20"/>
                <w:szCs w:val="20"/>
                <w:lang w:val="en-US" w:eastAsia="zh-TW"/>
              </w:rPr>
              <w:t>貴集團</w:t>
            </w:r>
            <w:r w:rsidRPr="00E02377">
              <w:rPr>
                <w:rFonts w:ascii="新細明體" w:hAnsi="新細明體" w:cs="MHeiHK-Medium-Identity-H" w:hint="eastAsia"/>
                <w:sz w:val="20"/>
                <w:szCs w:val="20"/>
                <w:lang w:val="en-US" w:eastAsia="zh-TW"/>
              </w:rPr>
              <w:t>的</w:t>
            </w:r>
            <w:r w:rsidR="007D7A3B" w:rsidRPr="00605997">
              <w:rPr>
                <w:rFonts w:ascii="STXihei" w:hAnsi="STXihei" w:cs="SimSun" w:hint="eastAsia"/>
                <w:sz w:val="20"/>
                <w:szCs w:val="20"/>
                <w:lang w:eastAsia="zh-TW"/>
              </w:rPr>
              <w:t>綜合</w:t>
            </w:r>
            <w:r w:rsidRPr="00320A53">
              <w:rPr>
                <w:rFonts w:ascii="SimSun" w:cs="SimSun" w:hint="eastAsia"/>
                <w:sz w:val="20"/>
                <w:szCs w:val="20"/>
                <w:lang w:val="en-US" w:eastAsia="zh-TW"/>
              </w:rPr>
              <w:t>損益及其他</w:t>
            </w:r>
            <w:r w:rsidR="00C916DA" w:rsidRPr="00605997">
              <w:rPr>
                <w:rFonts w:ascii="STXihei" w:hAnsi="STXihei" w:cs="SimSun" w:hint="eastAsia"/>
                <w:sz w:val="20"/>
                <w:szCs w:val="20"/>
                <w:lang w:eastAsia="zh-TW"/>
              </w:rPr>
              <w:t>全面</w:t>
            </w:r>
            <w:r w:rsidRPr="00320A53">
              <w:rPr>
                <w:rFonts w:ascii="SimSun" w:cs="SimSun" w:hint="eastAsia"/>
                <w:sz w:val="20"/>
                <w:szCs w:val="20"/>
                <w:lang w:val="en-US" w:eastAsia="zh-TW"/>
              </w:rPr>
              <w:t>收益表</w:t>
            </w:r>
            <w:r w:rsidRPr="00320A53">
              <w:rPr>
                <w:rFonts w:ascii="新細明體" w:hAnsi="新細明體" w:cs="MHeiHK-Medium-Identity-H" w:hint="eastAsia"/>
                <w:sz w:val="20"/>
                <w:szCs w:val="20"/>
                <w:lang w:val="en-US" w:eastAsia="zh-TW"/>
              </w:rPr>
              <w:t>、</w:t>
            </w:r>
            <w:r w:rsidR="00081F76" w:rsidRPr="006F7A45">
              <w:rPr>
                <w:rFonts w:ascii="STXihei" w:hAnsi="STXihei" w:cs="SimSun" w:hint="eastAsia"/>
                <w:sz w:val="20"/>
                <w:szCs w:val="20"/>
                <w:lang w:eastAsia="zh-TW"/>
              </w:rPr>
              <w:t>綜合權益變動表和</w:t>
            </w:r>
            <w:r w:rsidR="00081F76" w:rsidRPr="00605997">
              <w:rPr>
                <w:rFonts w:ascii="STXihei" w:hAnsi="STXihei" w:cs="SimSun" w:hint="eastAsia"/>
                <w:sz w:val="20"/>
                <w:szCs w:val="20"/>
                <w:lang w:eastAsia="zh-TW"/>
              </w:rPr>
              <w:t>綜合</w:t>
            </w:r>
            <w:r w:rsidR="00081F76" w:rsidRPr="006F7A45">
              <w:rPr>
                <w:rFonts w:ascii="STXihei" w:hAnsi="STXihei" w:cs="SimSun" w:hint="eastAsia"/>
                <w:sz w:val="20"/>
                <w:szCs w:val="20"/>
                <w:lang w:eastAsia="zh-TW"/>
              </w:rPr>
              <w:t>現金流量表</w:t>
            </w:r>
            <w:r w:rsidRPr="00E02377">
              <w:rPr>
                <w:rFonts w:ascii="新細明體" w:hAnsi="新細明體" w:cs="MHeiHK-Medium-Identity-H" w:hint="eastAsia"/>
                <w:sz w:val="20"/>
                <w:szCs w:val="20"/>
                <w:lang w:val="en-US" w:eastAsia="zh-TW"/>
              </w:rPr>
              <w:t>，</w:t>
            </w:r>
            <w:r w:rsidR="007D7A3B" w:rsidRPr="006F7A45">
              <w:rPr>
                <w:rFonts w:ascii="STXihei" w:hAnsi="STXihei" w:cs="SimSun" w:hint="eastAsia"/>
                <w:sz w:val="20"/>
                <w:szCs w:val="20"/>
                <w:lang w:eastAsia="zh-TW"/>
              </w:rPr>
              <w:t>以及</w:t>
            </w:r>
            <w:r w:rsidR="007D7A3B" w:rsidRPr="00605997">
              <w:rPr>
                <w:rFonts w:ascii="STXihei" w:hAnsi="STXihei" w:cs="SimSun" w:hint="eastAsia"/>
                <w:sz w:val="20"/>
                <w:szCs w:val="20"/>
                <w:lang w:eastAsia="zh-TW"/>
              </w:rPr>
              <w:t>綜合</w:t>
            </w:r>
            <w:r w:rsidR="007D7A3B" w:rsidRPr="006F7A45">
              <w:rPr>
                <w:rFonts w:ascii="STXihei" w:hAnsi="STXihei" w:cs="SimSun" w:hint="eastAsia"/>
                <w:sz w:val="20"/>
                <w:szCs w:val="20"/>
                <w:lang w:eastAsia="zh-TW"/>
              </w:rPr>
              <w:t>財務報表附注，包括主要會計政策概要。</w:t>
            </w:r>
          </w:p>
          <w:p w:rsidR="007E7D1B" w:rsidRDefault="007E7D1B" w:rsidP="007E7D1B">
            <w:pPr>
              <w:pStyle w:val="ab"/>
              <w:jc w:val="both"/>
              <w:rPr>
                <w:rFonts w:ascii="新細明體" w:hAnsi="新細明體"/>
                <w:sz w:val="20"/>
                <w:highlight w:val="yellow"/>
                <w:lang w:val="en-US"/>
              </w:rPr>
            </w:pPr>
          </w:p>
          <w:p w:rsidR="00563A7B" w:rsidRDefault="00563A7B" w:rsidP="00AA21D1">
            <w:pPr>
              <w:pStyle w:val="ab"/>
              <w:jc w:val="both"/>
              <w:rPr>
                <w:rFonts w:ascii="STXihei" w:hAnsi="STXihei" w:cs="SimSun"/>
                <w:b/>
                <w:sz w:val="20"/>
                <w:szCs w:val="20"/>
                <w:lang w:eastAsia="zh-TW"/>
              </w:rPr>
            </w:pPr>
          </w:p>
          <w:p w:rsidR="00563A7B" w:rsidRDefault="00563A7B" w:rsidP="00AA21D1">
            <w:pPr>
              <w:pStyle w:val="ab"/>
              <w:jc w:val="both"/>
              <w:rPr>
                <w:rFonts w:ascii="STXihei" w:hAnsi="STXihei" w:cs="SimSun"/>
                <w:b/>
                <w:sz w:val="20"/>
                <w:szCs w:val="20"/>
                <w:lang w:eastAsia="zh-TW"/>
              </w:rPr>
            </w:pPr>
          </w:p>
          <w:p w:rsidR="004A72AE" w:rsidRPr="00C64096" w:rsidRDefault="00563A7B" w:rsidP="004A72AE">
            <w:pPr>
              <w:widowControl/>
              <w:autoSpaceDE w:val="0"/>
              <w:autoSpaceDN w:val="0"/>
              <w:spacing w:line="240" w:lineRule="auto"/>
              <w:jc w:val="both"/>
              <w:textAlignment w:val="auto"/>
              <w:rPr>
                <w:rStyle w:val="A72"/>
                <w:rFonts w:ascii="新細明體" w:eastAsia="新細明體" w:hAnsi="新細明體"/>
                <w:sz w:val="20"/>
                <w:szCs w:val="20"/>
              </w:rPr>
            </w:pPr>
            <w:r w:rsidRPr="006F7A45">
              <w:rPr>
                <w:rFonts w:ascii="STXihei" w:hAnsi="STXihei" w:cs="SimSun" w:hint="eastAsia"/>
                <w:sz w:val="20"/>
              </w:rPr>
              <w:t>我們</w:t>
            </w:r>
            <w:r w:rsidR="004A72AE" w:rsidRPr="00C64096">
              <w:rPr>
                <w:rStyle w:val="A72"/>
                <w:rFonts w:ascii="新細明體" w:eastAsia="新細明體" w:hAnsi="新細明體"/>
                <w:sz w:val="20"/>
                <w:szCs w:val="20"/>
              </w:rPr>
              <w:t>認為此</w:t>
            </w:r>
            <w:r w:rsidRPr="00297A5B">
              <w:rPr>
                <w:rFonts w:ascii="STXihei" w:hAnsi="STXihei" w:cs="SimSun" w:hint="eastAsia"/>
                <w:sz w:val="20"/>
              </w:rPr>
              <w:t>綜合</w:t>
            </w:r>
            <w:r w:rsidR="004A72AE" w:rsidRPr="00C64096">
              <w:rPr>
                <w:rStyle w:val="A72"/>
                <w:rFonts w:ascii="新細明體" w:eastAsia="新細明體" w:hAnsi="新細明體"/>
                <w:sz w:val="20"/>
                <w:szCs w:val="20"/>
              </w:rPr>
              <w:t>財務報</w:t>
            </w:r>
            <w:r w:rsidR="004A72AE" w:rsidRPr="00C64096">
              <w:rPr>
                <w:rFonts w:ascii="新細明體" w:eastAsia="新細明體" w:hAnsi="新細明體" w:cs="MHeiHK-Medium-Identity-H" w:hint="eastAsia"/>
                <w:sz w:val="20"/>
              </w:rPr>
              <w:t>表已根據</w:t>
            </w:r>
            <w:r w:rsidR="00600692" w:rsidRPr="00DB6A9B">
              <w:rPr>
                <w:rFonts w:ascii="STXihei" w:eastAsia="新細明體" w:hAnsi="STXihei" w:cs="SimSun" w:hint="eastAsia"/>
                <w:color w:val="000000"/>
                <w:sz w:val="20"/>
                <w:highlight w:val="yellow"/>
              </w:rPr>
              <w:t>香港會計師公會頒佈的《</w:t>
            </w:r>
            <w:r w:rsidR="004A72AE" w:rsidRPr="00C64096">
              <w:rPr>
                <w:rFonts w:ascii="新細明體" w:eastAsia="新細明體" w:hAnsi="新細明體" w:cs="MHeiHK-Medium-Identity-H" w:hint="eastAsia"/>
                <w:sz w:val="20"/>
              </w:rPr>
              <w:t>香港財務報告準則</w:t>
            </w:r>
            <w:r w:rsidR="00600692" w:rsidRPr="00DB6A9B">
              <w:rPr>
                <w:rFonts w:ascii="STXihei" w:eastAsia="新細明體" w:hAnsi="STXihei" w:cs="SimSun" w:hint="eastAsia"/>
                <w:color w:val="000000"/>
                <w:sz w:val="20"/>
                <w:highlight w:val="yellow"/>
              </w:rPr>
              <w:t>》</w:t>
            </w:r>
            <w:r w:rsidR="004A72AE" w:rsidRPr="00C64096">
              <w:rPr>
                <w:rFonts w:ascii="新細明體" w:eastAsia="新細明體" w:hAnsi="新細明體" w:cs="MHeiHK-Medium-Identity-H" w:hint="eastAsia"/>
                <w:sz w:val="20"/>
              </w:rPr>
              <w:t>及</w:t>
            </w:r>
            <w:r w:rsidR="004A72AE" w:rsidRPr="00C64096">
              <w:rPr>
                <w:rFonts w:ascii="新細明體" w:eastAsia="新細明體" w:hAnsi="新細明體"/>
                <w:sz w:val="20"/>
              </w:rPr>
              <w:t>香港藝術中心條例</w:t>
            </w:r>
            <w:r w:rsidR="004A72AE" w:rsidRPr="002D0190">
              <w:rPr>
                <w:rFonts w:ascii="新細明體" w:eastAsia="新細明體" w:hAnsi="新細明體" w:hint="eastAsia"/>
                <w:sz w:val="20"/>
              </w:rPr>
              <w:t>一九八六</w:t>
            </w:r>
            <w:r w:rsidR="004A72AE" w:rsidRPr="00C64096">
              <w:rPr>
                <w:rFonts w:ascii="新細明體" w:eastAsia="新細明體" w:hAnsi="新細明體"/>
                <w:sz w:val="20"/>
              </w:rPr>
              <w:t>年版</w:t>
            </w:r>
            <w:r w:rsidR="004A72AE" w:rsidRPr="00C64096">
              <w:rPr>
                <w:rStyle w:val="A72"/>
                <w:rFonts w:ascii="新細明體" w:eastAsia="新細明體" w:hAnsi="新細明體"/>
                <w:sz w:val="20"/>
                <w:szCs w:val="20"/>
              </w:rPr>
              <w:t>的規定</w:t>
            </w:r>
            <w:r w:rsidR="004A72AE" w:rsidRPr="00C64096">
              <w:rPr>
                <w:rFonts w:ascii="新細明體" w:eastAsia="新細明體" w:hAnsi="新細明體" w:cs="MHeiHK-Medium-Identity-H" w:hint="eastAsia"/>
                <w:sz w:val="20"/>
              </w:rPr>
              <w:t>，真實而公平地反映貴集團</w:t>
            </w:r>
            <w:r w:rsidR="004A72AE" w:rsidRPr="00C64096">
              <w:rPr>
                <w:rStyle w:val="A72"/>
                <w:rFonts w:ascii="新細明體" w:eastAsia="新細明體" w:hAnsi="新細明體"/>
                <w:color w:val="auto"/>
                <w:sz w:val="20"/>
                <w:szCs w:val="20"/>
              </w:rPr>
              <w:t>於</w:t>
            </w:r>
            <w:r w:rsidR="004A72AE" w:rsidRPr="00C64096">
              <w:rPr>
                <w:rFonts w:ascii="新細明體" w:eastAsia="新細明體" w:hAnsi="新細明體" w:cs="MHeiHK-Medium-Identity-H" w:hint="eastAsia"/>
                <w:sz w:val="20"/>
              </w:rPr>
              <w:t>二零一</w:t>
            </w:r>
            <w:r w:rsidR="00F323B7" w:rsidRPr="002D0190">
              <w:rPr>
                <w:rFonts w:ascii="新細明體" w:eastAsia="新細明體" w:hAnsi="新細明體" w:hint="eastAsia"/>
                <w:sz w:val="20"/>
              </w:rPr>
              <w:t>八</w:t>
            </w:r>
            <w:r w:rsidR="004A72AE" w:rsidRPr="00C64096">
              <w:rPr>
                <w:rFonts w:ascii="新細明體" w:eastAsia="新細明體" w:hAnsi="新細明體" w:cs="MHeiHK-Medium-Identity-H" w:hint="eastAsia"/>
                <w:sz w:val="20"/>
              </w:rPr>
              <w:t>年六月三十日</w:t>
            </w:r>
            <w:r w:rsidR="004A72AE" w:rsidRPr="00C64096">
              <w:rPr>
                <w:rStyle w:val="A72"/>
                <w:rFonts w:ascii="新細明體" w:eastAsia="新細明體" w:hAnsi="新細明體"/>
                <w:color w:val="auto"/>
                <w:sz w:val="20"/>
                <w:szCs w:val="20"/>
              </w:rPr>
              <w:t>結算時之財務狀況，</w:t>
            </w:r>
            <w:r w:rsidR="004A72AE" w:rsidRPr="00C64096">
              <w:rPr>
                <w:rStyle w:val="A72"/>
                <w:rFonts w:ascii="新細明體" w:eastAsia="新細明體" w:hAnsi="新細明體"/>
                <w:sz w:val="20"/>
                <w:szCs w:val="20"/>
              </w:rPr>
              <w:t>及截至該日止年度</w:t>
            </w:r>
            <w:r w:rsidR="004A72AE">
              <w:rPr>
                <w:rStyle w:val="A72"/>
                <w:rFonts w:ascii="新細明體" w:eastAsia="新細明體" w:hAnsi="新細明體" w:hint="eastAsia"/>
                <w:sz w:val="20"/>
                <w:szCs w:val="20"/>
              </w:rPr>
              <w:t>業績</w:t>
            </w:r>
            <w:r w:rsidR="004A72AE" w:rsidRPr="00C64096">
              <w:rPr>
                <w:rStyle w:val="A72"/>
                <w:rFonts w:ascii="新細明體" w:eastAsia="新細明體" w:hAnsi="新細明體"/>
                <w:sz w:val="20"/>
                <w:szCs w:val="20"/>
              </w:rPr>
              <w:t>及現金流量。</w:t>
            </w:r>
          </w:p>
          <w:p w:rsidR="00F56705" w:rsidRPr="00563A7B" w:rsidRDefault="00F56705" w:rsidP="00AA21D1">
            <w:pPr>
              <w:pStyle w:val="ab"/>
              <w:jc w:val="both"/>
              <w:rPr>
                <w:rFonts w:ascii="STXihei" w:hAnsi="STXihei" w:cs="SimSun"/>
                <w:sz w:val="20"/>
                <w:szCs w:val="20"/>
                <w:lang w:val="en-US" w:eastAsia="zh-TW"/>
              </w:rPr>
            </w:pPr>
          </w:p>
          <w:p w:rsidR="00563A7B" w:rsidRDefault="00563A7B" w:rsidP="00AA21D1">
            <w:pPr>
              <w:pStyle w:val="ab"/>
              <w:jc w:val="both"/>
              <w:rPr>
                <w:rFonts w:ascii="STXihei" w:hAnsi="STXihei" w:cs="Arial"/>
                <w:b/>
                <w:bCs/>
                <w:sz w:val="20"/>
                <w:szCs w:val="20"/>
                <w:lang w:eastAsia="zh-TW"/>
              </w:rPr>
            </w:pPr>
          </w:p>
          <w:p w:rsidR="00563A7B" w:rsidRDefault="00563A7B" w:rsidP="00AA21D1">
            <w:pPr>
              <w:pStyle w:val="ab"/>
              <w:jc w:val="both"/>
              <w:rPr>
                <w:rFonts w:ascii="STXihei" w:hAnsi="STXihei" w:cs="Arial"/>
                <w:b/>
                <w:bCs/>
                <w:sz w:val="20"/>
                <w:szCs w:val="20"/>
                <w:lang w:eastAsia="zh-TW"/>
              </w:rPr>
            </w:pPr>
          </w:p>
          <w:p w:rsidR="00F56705" w:rsidRDefault="00F56705" w:rsidP="00AA21D1">
            <w:pPr>
              <w:pStyle w:val="ab"/>
              <w:jc w:val="both"/>
              <w:rPr>
                <w:rFonts w:ascii="新細明體" w:hAnsi="新細明體"/>
                <w:sz w:val="20"/>
                <w:highlight w:val="yellow"/>
                <w:lang w:val="en-US"/>
              </w:rPr>
            </w:pPr>
            <w:r w:rsidRPr="006F7A45">
              <w:rPr>
                <w:rFonts w:ascii="STXihei" w:hAnsi="STXihei" w:cs="Arial" w:hint="eastAsia"/>
                <w:b/>
                <w:bCs/>
                <w:sz w:val="20"/>
                <w:szCs w:val="20"/>
                <w:lang w:eastAsia="zh-TW"/>
              </w:rPr>
              <w:t>意見的基礎</w:t>
            </w:r>
          </w:p>
          <w:p w:rsidR="00F56705" w:rsidRDefault="00F56705" w:rsidP="00AA21D1">
            <w:pPr>
              <w:pStyle w:val="ab"/>
              <w:jc w:val="both"/>
              <w:rPr>
                <w:rFonts w:ascii="新細明體" w:hAnsi="新細明體"/>
                <w:sz w:val="20"/>
                <w:highlight w:val="yellow"/>
                <w:lang w:val="en-US"/>
              </w:rPr>
            </w:pPr>
          </w:p>
          <w:p w:rsidR="00F56705" w:rsidRPr="0024530D" w:rsidRDefault="00F56705" w:rsidP="00F56705">
            <w:pPr>
              <w:snapToGrid w:val="0"/>
              <w:spacing w:line="240" w:lineRule="auto"/>
              <w:ind w:right="98"/>
              <w:jc w:val="both"/>
              <w:rPr>
                <w:rFonts w:ascii="STXihei" w:eastAsia="STXihei" w:hAnsi="STXihei" w:cs="Arial"/>
                <w:sz w:val="20"/>
                <w:lang w:eastAsia="zh-CN"/>
              </w:rPr>
            </w:pPr>
            <w:r w:rsidRPr="006F7A45">
              <w:rPr>
                <w:rFonts w:ascii="STXihei" w:eastAsia="新細明體" w:hAnsi="STXihei" w:cs="SimSun" w:hint="eastAsia"/>
                <w:color w:val="000000"/>
                <w:sz w:val="20"/>
              </w:rPr>
              <w:t>我們已根據香港會計師公會頒佈的《香港審計準則》進行審計。我們在該等準則下承擔的責任已在本報告「核數師就審計</w:t>
            </w:r>
            <w:r w:rsidRPr="00563A7B">
              <w:rPr>
                <w:rFonts w:ascii="STXihei" w:eastAsia="新細明體" w:hAnsi="STXihei" w:cs="SimSun" w:hint="eastAsia"/>
                <w:color w:val="000000"/>
                <w:sz w:val="20"/>
              </w:rPr>
              <w:t>綜合</w:t>
            </w:r>
            <w:r w:rsidRPr="006F7A45">
              <w:rPr>
                <w:rFonts w:ascii="STXihei" w:eastAsia="新細明體" w:hAnsi="STXihei" w:cs="SimSun" w:hint="eastAsia"/>
                <w:color w:val="000000"/>
                <w:sz w:val="20"/>
              </w:rPr>
              <w:t>財務報表承擔的責任」部分中作進一步闡述。根據香港會計師公會頒佈的《專業會計師道德守則》（以下簡稱「守則」），我們獨立於貴集團，並已履行守則中的其他專業道德責任。我們相信，我們所獲得的審計憑證能充足及適當地為我們的審計意見提供基礎。</w:t>
            </w:r>
          </w:p>
          <w:p w:rsidR="00F56705" w:rsidRDefault="00F56705"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STXihei" w:hAnsi="STXihei" w:cs="SimSun"/>
                <w:b/>
                <w:bCs/>
                <w:sz w:val="20"/>
                <w:szCs w:val="20"/>
                <w:lang w:eastAsia="zh-TW"/>
              </w:rPr>
            </w:pPr>
          </w:p>
          <w:p w:rsidR="00E80491" w:rsidRDefault="00E80491" w:rsidP="00AA21D1">
            <w:pPr>
              <w:pStyle w:val="ab"/>
              <w:jc w:val="both"/>
              <w:rPr>
                <w:rFonts w:ascii="STXihei" w:hAnsi="STXihei" w:cs="SimSun"/>
                <w:b/>
                <w:bCs/>
                <w:sz w:val="20"/>
                <w:szCs w:val="20"/>
                <w:lang w:eastAsia="zh-TW"/>
              </w:rPr>
            </w:pPr>
          </w:p>
          <w:p w:rsidR="00E80491" w:rsidRDefault="00E80491" w:rsidP="00AA21D1">
            <w:pPr>
              <w:pStyle w:val="ab"/>
              <w:jc w:val="both"/>
              <w:rPr>
                <w:rFonts w:ascii="STXihei" w:hAnsi="STXihei" w:cs="SimSun"/>
                <w:b/>
                <w:bCs/>
                <w:sz w:val="20"/>
                <w:szCs w:val="20"/>
                <w:lang w:eastAsia="zh-TW"/>
              </w:rPr>
            </w:pPr>
          </w:p>
          <w:p w:rsidR="00E80491" w:rsidRDefault="00E80491" w:rsidP="00AA21D1">
            <w:pPr>
              <w:pStyle w:val="ab"/>
              <w:jc w:val="both"/>
              <w:rPr>
                <w:rFonts w:ascii="STXihei" w:hAnsi="STXihei" w:cs="SimSun"/>
                <w:b/>
                <w:bCs/>
                <w:sz w:val="20"/>
                <w:szCs w:val="20"/>
                <w:lang w:eastAsia="zh-TW"/>
              </w:rPr>
            </w:pPr>
          </w:p>
          <w:p w:rsidR="00E80491" w:rsidRDefault="00E80491" w:rsidP="00AA21D1">
            <w:pPr>
              <w:pStyle w:val="ab"/>
              <w:jc w:val="both"/>
              <w:rPr>
                <w:rFonts w:ascii="STXihei" w:hAnsi="STXihei" w:cs="SimSun"/>
                <w:b/>
                <w:bCs/>
                <w:sz w:val="20"/>
                <w:szCs w:val="20"/>
                <w:lang w:eastAsia="zh-TW"/>
              </w:rPr>
            </w:pPr>
          </w:p>
          <w:p w:rsidR="00E80491" w:rsidRDefault="00E80491" w:rsidP="00AA21D1">
            <w:pPr>
              <w:pStyle w:val="ab"/>
              <w:jc w:val="both"/>
              <w:rPr>
                <w:rFonts w:ascii="STXihei" w:hAnsi="STXihei" w:cs="SimSun"/>
                <w:b/>
                <w:bCs/>
                <w:sz w:val="20"/>
                <w:szCs w:val="20"/>
                <w:lang w:eastAsia="zh-TW"/>
              </w:rPr>
            </w:pPr>
          </w:p>
          <w:p w:rsidR="00A479E9" w:rsidRDefault="00A479E9" w:rsidP="00AA21D1">
            <w:pPr>
              <w:pStyle w:val="ab"/>
              <w:jc w:val="both"/>
              <w:rPr>
                <w:rStyle w:val="headerthin1"/>
                <w:rFonts w:ascii="新細明體" w:hAnsi="新細明體"/>
                <w:b/>
                <w:color w:val="auto"/>
                <w:sz w:val="20"/>
                <w:szCs w:val="20"/>
                <w:lang w:eastAsia="zh-HK"/>
              </w:rPr>
            </w:pPr>
          </w:p>
          <w:p w:rsidR="009F0CFA" w:rsidRDefault="004A72AE" w:rsidP="00AA21D1">
            <w:pPr>
              <w:pStyle w:val="ab"/>
              <w:jc w:val="both"/>
              <w:rPr>
                <w:rFonts w:ascii="新細明體" w:hAnsi="新細明體"/>
                <w:sz w:val="20"/>
                <w:highlight w:val="yellow"/>
                <w:lang w:val="en-US"/>
              </w:rPr>
            </w:pPr>
            <w:r>
              <w:rPr>
                <w:rStyle w:val="headerthin1"/>
                <w:rFonts w:ascii="新細明體" w:hAnsi="新細明體" w:hint="eastAsia"/>
                <w:b/>
                <w:color w:val="auto"/>
                <w:sz w:val="20"/>
                <w:szCs w:val="20"/>
                <w:lang w:eastAsia="zh-HK"/>
              </w:rPr>
              <w:t xml:space="preserve"> </w:t>
            </w:r>
            <w:r w:rsidRPr="00C7782A">
              <w:rPr>
                <w:rStyle w:val="headerthin1"/>
                <w:rFonts w:ascii="新細明體" w:hAnsi="新細明體"/>
                <w:b/>
                <w:color w:val="auto"/>
                <w:sz w:val="20"/>
                <w:szCs w:val="20"/>
              </w:rPr>
              <w:t>監督</w:t>
            </w:r>
            <w:r w:rsidRPr="00C7782A">
              <w:rPr>
                <w:rStyle w:val="headerthin1"/>
                <w:rFonts w:ascii="新細明體" w:hAnsi="新細明體" w:cs="細明體" w:hint="eastAsia"/>
                <w:b/>
                <w:color w:val="auto"/>
                <w:sz w:val="20"/>
                <w:szCs w:val="20"/>
              </w:rPr>
              <w:t>團</w:t>
            </w:r>
            <w:r w:rsidRPr="00C7782A">
              <w:rPr>
                <w:rStyle w:val="a6"/>
                <w:rFonts w:ascii="新細明體" w:hAnsi="新細明體" w:cs="Arial"/>
                <w:color w:val="333333"/>
                <w:sz w:val="20"/>
                <w:szCs w:val="20"/>
              </w:rPr>
              <w:t>成</w:t>
            </w:r>
            <w:r w:rsidRPr="00C7782A">
              <w:rPr>
                <w:rStyle w:val="a6"/>
                <w:rFonts w:ascii="新細明體" w:hAnsi="新細明體" w:cs="細明體" w:hint="eastAsia"/>
                <w:color w:val="333333"/>
                <w:sz w:val="20"/>
                <w:szCs w:val="20"/>
              </w:rPr>
              <w:t>員</w:t>
            </w:r>
            <w:r w:rsidRPr="00C7782A">
              <w:rPr>
                <w:rStyle w:val="A211"/>
                <w:rFonts w:ascii="新細明體" w:hAnsi="新細明體"/>
                <w:b/>
              </w:rPr>
              <w:t>就</w:t>
            </w:r>
            <w:r w:rsidR="00A30884" w:rsidRPr="00A30884">
              <w:rPr>
                <w:rFonts w:ascii="STXihei" w:hAnsi="STXihei" w:cs="SimSun" w:hint="eastAsia"/>
                <w:b/>
                <w:color w:val="000000"/>
                <w:sz w:val="20"/>
              </w:rPr>
              <w:t>綜合</w:t>
            </w:r>
            <w:r w:rsidRPr="00C7782A">
              <w:rPr>
                <w:rStyle w:val="A211"/>
                <w:rFonts w:ascii="新細明體" w:hAnsi="新細明體"/>
                <w:b/>
              </w:rPr>
              <w:t>財務報表須承擔之</w:t>
            </w:r>
            <w:r w:rsidRPr="00C7782A">
              <w:rPr>
                <w:rStyle w:val="A211"/>
                <w:rFonts w:ascii="新細明體" w:hAnsi="新細明體" w:hint="eastAsia"/>
                <w:b/>
              </w:rPr>
              <w:t>責</w:t>
            </w:r>
            <w:r w:rsidRPr="00C7782A">
              <w:rPr>
                <w:rStyle w:val="A211"/>
                <w:rFonts w:ascii="新細明體" w:hAnsi="新細明體"/>
                <w:b/>
              </w:rPr>
              <w:t>任</w:t>
            </w:r>
          </w:p>
          <w:p w:rsidR="0089536E" w:rsidRPr="00A479E9" w:rsidRDefault="0089536E" w:rsidP="00AA21D1">
            <w:pPr>
              <w:pStyle w:val="ab"/>
              <w:jc w:val="both"/>
              <w:rPr>
                <w:rFonts w:ascii="新細明體" w:hAnsi="新細明體"/>
                <w:sz w:val="20"/>
                <w:highlight w:val="yellow"/>
                <w:lang w:val="en-US"/>
              </w:rPr>
            </w:pPr>
          </w:p>
          <w:p w:rsidR="009F0CFA" w:rsidRPr="0024530D" w:rsidRDefault="009F0CFA" w:rsidP="009F0CFA">
            <w:pPr>
              <w:snapToGrid w:val="0"/>
              <w:spacing w:line="240" w:lineRule="auto"/>
              <w:ind w:right="105"/>
              <w:jc w:val="both"/>
              <w:rPr>
                <w:rFonts w:ascii="STXihei" w:eastAsia="STXihei" w:hAnsi="STXihei" w:cs="Arial"/>
                <w:sz w:val="20"/>
                <w:lang w:eastAsia="zh-CN"/>
              </w:rPr>
            </w:pPr>
          </w:p>
          <w:p w:rsidR="00A479E9" w:rsidRDefault="00A479E9" w:rsidP="00175664">
            <w:pPr>
              <w:widowControl/>
              <w:autoSpaceDE w:val="0"/>
              <w:autoSpaceDN w:val="0"/>
              <w:spacing w:line="240" w:lineRule="auto"/>
              <w:jc w:val="both"/>
              <w:textAlignment w:val="auto"/>
              <w:rPr>
                <w:rFonts w:ascii="新細明體" w:eastAsia="新細明體" w:hAnsi="新細明體" w:cs="MHeiHK-Medium-Identity-H"/>
                <w:sz w:val="20"/>
              </w:rPr>
            </w:pPr>
          </w:p>
          <w:p w:rsidR="00175664" w:rsidRPr="00C64096" w:rsidRDefault="00175664" w:rsidP="00175664">
            <w:pPr>
              <w:widowControl/>
              <w:autoSpaceDE w:val="0"/>
              <w:autoSpaceDN w:val="0"/>
              <w:spacing w:line="240" w:lineRule="auto"/>
              <w:jc w:val="both"/>
              <w:textAlignment w:val="auto"/>
              <w:rPr>
                <w:rFonts w:ascii="新細明體" w:eastAsia="新細明體" w:hAnsi="新細明體" w:cs="MHeiHK-Medium-Identity-H"/>
                <w:sz w:val="20"/>
              </w:rPr>
            </w:pPr>
            <w:r w:rsidRPr="00C64096">
              <w:rPr>
                <w:rFonts w:ascii="新細明體" w:eastAsia="新細明體" w:hAnsi="新細明體" w:cs="MHeiHK-Medium-Identity-H" w:hint="eastAsia"/>
                <w:sz w:val="20"/>
              </w:rPr>
              <w:t>貴</w:t>
            </w:r>
            <w:r w:rsidRPr="00C64096">
              <w:rPr>
                <w:rStyle w:val="headerthin1"/>
                <w:rFonts w:ascii="新細明體" w:eastAsia="新細明體" w:hAnsi="新細明體"/>
                <w:color w:val="auto"/>
                <w:sz w:val="20"/>
                <w:szCs w:val="20"/>
              </w:rPr>
              <w:t>中心監督</w:t>
            </w:r>
            <w:r w:rsidRPr="00C64096">
              <w:rPr>
                <w:rStyle w:val="headerthin1"/>
                <w:rFonts w:ascii="新細明體" w:eastAsia="新細明體" w:hAnsi="新細明體" w:cs="細明體" w:hint="eastAsia"/>
                <w:color w:val="auto"/>
                <w:sz w:val="20"/>
                <w:szCs w:val="20"/>
              </w:rPr>
              <w:t>團</w:t>
            </w:r>
            <w:r w:rsidRPr="00C64096">
              <w:rPr>
                <w:rStyle w:val="a6"/>
                <w:rFonts w:ascii="新細明體" w:eastAsia="新細明體" w:hAnsi="新細明體" w:cs="Arial"/>
                <w:b w:val="0"/>
                <w:sz w:val="20"/>
              </w:rPr>
              <w:t>成</w:t>
            </w:r>
            <w:r w:rsidRPr="00C64096">
              <w:rPr>
                <w:rStyle w:val="a6"/>
                <w:rFonts w:ascii="新細明體" w:eastAsia="新細明體" w:hAnsi="新細明體" w:cs="細明體" w:hint="eastAsia"/>
                <w:b w:val="0"/>
                <w:sz w:val="20"/>
              </w:rPr>
              <w:t>員</w:t>
            </w:r>
            <w:r w:rsidRPr="00C64096">
              <w:rPr>
                <w:rFonts w:ascii="新細明體" w:eastAsia="新細明體" w:hAnsi="新細明體" w:cs="MHeiHK-Medium-Identity-H" w:hint="eastAsia"/>
                <w:sz w:val="20"/>
              </w:rPr>
              <w:t>須負責根據香港會計師公會頒佈的</w:t>
            </w:r>
            <w:r w:rsidR="00600692" w:rsidRPr="00DB6A9B">
              <w:rPr>
                <w:rFonts w:ascii="STXihei" w:eastAsia="新細明體" w:hAnsi="STXihei" w:cs="SimSun" w:hint="eastAsia"/>
                <w:color w:val="000000"/>
                <w:sz w:val="20"/>
                <w:highlight w:val="yellow"/>
              </w:rPr>
              <w:t>《</w:t>
            </w:r>
            <w:r w:rsidRPr="00C64096">
              <w:rPr>
                <w:rFonts w:ascii="新細明體" w:eastAsia="新細明體" w:hAnsi="新細明體" w:cs="MHeiHK-Medium-Identity-H" w:hint="eastAsia"/>
                <w:sz w:val="20"/>
              </w:rPr>
              <w:t>香港財務報告準則</w:t>
            </w:r>
            <w:r w:rsidR="00600692" w:rsidRPr="00DB6A9B">
              <w:rPr>
                <w:rFonts w:ascii="STXihei" w:eastAsia="新細明體" w:hAnsi="STXihei" w:cs="SimSun" w:hint="eastAsia"/>
                <w:color w:val="000000"/>
                <w:sz w:val="20"/>
                <w:highlight w:val="yellow"/>
              </w:rPr>
              <w:t>》</w:t>
            </w:r>
            <w:bookmarkStart w:id="0" w:name="_GoBack"/>
            <w:bookmarkEnd w:id="0"/>
            <w:r w:rsidRPr="00C64096">
              <w:rPr>
                <w:rFonts w:ascii="新細明體" w:eastAsia="新細明體" w:hAnsi="新細明體" w:cs="MHeiHK-Medium-Identity-H" w:hint="eastAsia"/>
                <w:sz w:val="20"/>
              </w:rPr>
              <w:t>及</w:t>
            </w:r>
            <w:r w:rsidRPr="00C64096">
              <w:rPr>
                <w:rFonts w:ascii="新細明體" w:eastAsia="新細明體" w:hAnsi="新細明體"/>
                <w:sz w:val="20"/>
              </w:rPr>
              <w:t>香港藝術中心條例</w:t>
            </w:r>
            <w:r w:rsidRPr="002D0190">
              <w:rPr>
                <w:rFonts w:ascii="新細明體" w:eastAsia="新細明體" w:hAnsi="新細明體" w:hint="eastAsia"/>
                <w:sz w:val="20"/>
              </w:rPr>
              <w:t>一九八六</w:t>
            </w:r>
            <w:r w:rsidRPr="00C64096">
              <w:rPr>
                <w:rFonts w:ascii="新細明體" w:eastAsia="新細明體" w:hAnsi="新細明體"/>
                <w:sz w:val="20"/>
              </w:rPr>
              <w:t>年版</w:t>
            </w:r>
            <w:r w:rsidRPr="00C64096">
              <w:rPr>
                <w:rStyle w:val="A72"/>
                <w:rFonts w:ascii="新細明體" w:eastAsia="新細明體" w:hAnsi="新細明體"/>
                <w:sz w:val="20"/>
                <w:szCs w:val="20"/>
              </w:rPr>
              <w:t>的規定編製</w:t>
            </w:r>
            <w:r w:rsidRPr="00C64096">
              <w:rPr>
                <w:rFonts w:ascii="新細明體" w:eastAsia="新細明體" w:hAnsi="新細明體" w:cs="MHeiHK-Medium-Identity-H" w:hint="eastAsia"/>
                <w:sz w:val="20"/>
              </w:rPr>
              <w:t>財務報表，</w:t>
            </w:r>
            <w:r w:rsidRPr="00C64096">
              <w:rPr>
                <w:rFonts w:ascii="新細明體" w:eastAsia="新細明體" w:hAnsi="新細明體" w:hint="eastAsia"/>
                <w:sz w:val="20"/>
              </w:rPr>
              <w:t>以令</w:t>
            </w:r>
            <w:r w:rsidR="00A479E9" w:rsidRPr="00563A7B">
              <w:rPr>
                <w:rFonts w:ascii="STXihei" w:eastAsia="新細明體" w:hAnsi="STXihei" w:cs="SimSun" w:hint="eastAsia"/>
                <w:color w:val="000000"/>
                <w:sz w:val="20"/>
              </w:rPr>
              <w:t>綜合</w:t>
            </w:r>
            <w:r w:rsidRPr="00C64096">
              <w:rPr>
                <w:rFonts w:ascii="新細明體" w:eastAsia="新細明體" w:hAnsi="新細明體" w:hint="eastAsia"/>
                <w:sz w:val="20"/>
              </w:rPr>
              <w:t>財務報表作出</w:t>
            </w:r>
            <w:r w:rsidRPr="00C64096">
              <w:rPr>
                <w:rFonts w:ascii="新細明體" w:eastAsia="新細明體" w:hAnsi="新細明體" w:cs="MHeiHK-Medium-Identity-H" w:hint="eastAsia"/>
                <w:sz w:val="20"/>
              </w:rPr>
              <w:t>真實</w:t>
            </w:r>
            <w:r w:rsidRPr="00C64096">
              <w:rPr>
                <w:rFonts w:ascii="新細明體" w:eastAsia="新細明體" w:hAnsi="新細明體" w:hint="eastAsia"/>
                <w:sz w:val="20"/>
              </w:rPr>
              <w:t>而公平的反映及落實其認為編製財務報表所必要的內部控制</w:t>
            </w:r>
            <w:r w:rsidRPr="00C64096">
              <w:rPr>
                <w:rStyle w:val="A72"/>
                <w:rFonts w:ascii="新細明體" w:eastAsia="新細明體" w:hAnsi="新細明體"/>
                <w:color w:val="auto"/>
                <w:sz w:val="20"/>
                <w:szCs w:val="20"/>
              </w:rPr>
              <w:t>，</w:t>
            </w:r>
            <w:r w:rsidRPr="00C64096">
              <w:rPr>
                <w:rFonts w:ascii="新細明體" w:eastAsia="新細明體" w:hAnsi="新細明體" w:cs="MHeiHK-Medium-Identity-H" w:hint="eastAsia"/>
                <w:sz w:val="20"/>
              </w:rPr>
              <w:t>以使</w:t>
            </w:r>
            <w:r w:rsidR="00A479E9" w:rsidRPr="00563A7B">
              <w:rPr>
                <w:rFonts w:ascii="STXihei" w:eastAsia="新細明體" w:hAnsi="STXihei" w:cs="SimSun" w:hint="eastAsia"/>
                <w:color w:val="000000"/>
                <w:sz w:val="20"/>
              </w:rPr>
              <w:t>綜合</w:t>
            </w:r>
            <w:r w:rsidRPr="00C64096">
              <w:rPr>
                <w:rFonts w:ascii="新細明體" w:eastAsia="新細明體" w:hAnsi="新細明體" w:cs="MHeiHK-Medium-Identity-H" w:hint="eastAsia"/>
                <w:sz w:val="20"/>
              </w:rPr>
              <w:t>財務報表不存在由於欺詐或錯誤而導致的重大錯誤陳述。</w:t>
            </w:r>
          </w:p>
          <w:p w:rsidR="009F0CFA" w:rsidRPr="00A479E9"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A479E9" w:rsidRDefault="00A479E9" w:rsidP="00175664">
            <w:pPr>
              <w:snapToGrid w:val="0"/>
              <w:spacing w:line="240" w:lineRule="auto"/>
              <w:ind w:right="108"/>
              <w:jc w:val="both"/>
              <w:rPr>
                <w:rFonts w:ascii="STXihei" w:eastAsia="新細明體" w:hAnsi="STXihei" w:cs="SimSun"/>
                <w:sz w:val="20"/>
              </w:rPr>
            </w:pPr>
          </w:p>
          <w:p w:rsidR="00A479E9" w:rsidRDefault="00A479E9" w:rsidP="00175664">
            <w:pPr>
              <w:snapToGrid w:val="0"/>
              <w:spacing w:line="240" w:lineRule="auto"/>
              <w:ind w:right="108"/>
              <w:jc w:val="both"/>
              <w:rPr>
                <w:rFonts w:ascii="STXihei" w:eastAsia="新細明體" w:hAnsi="STXihei" w:cs="SimSun"/>
                <w:sz w:val="20"/>
              </w:rPr>
            </w:pPr>
          </w:p>
          <w:p w:rsidR="00A479E9" w:rsidRDefault="00A479E9" w:rsidP="00175664">
            <w:pPr>
              <w:snapToGrid w:val="0"/>
              <w:spacing w:line="240" w:lineRule="auto"/>
              <w:ind w:right="108"/>
              <w:jc w:val="both"/>
              <w:rPr>
                <w:rFonts w:ascii="STXihei" w:eastAsia="新細明體" w:hAnsi="STXihei" w:cs="SimSun"/>
                <w:sz w:val="20"/>
              </w:rPr>
            </w:pPr>
          </w:p>
          <w:p w:rsidR="00A479E9" w:rsidRDefault="00A479E9" w:rsidP="00175664">
            <w:pPr>
              <w:snapToGrid w:val="0"/>
              <w:spacing w:line="240" w:lineRule="auto"/>
              <w:ind w:right="108"/>
              <w:jc w:val="both"/>
              <w:rPr>
                <w:rFonts w:ascii="STXihei" w:eastAsia="新細明體" w:hAnsi="STXihei" w:cs="SimSun"/>
                <w:sz w:val="20"/>
              </w:rPr>
            </w:pPr>
          </w:p>
          <w:p w:rsidR="00175664" w:rsidRPr="0024530D" w:rsidRDefault="00175664" w:rsidP="00175664">
            <w:pPr>
              <w:snapToGrid w:val="0"/>
              <w:spacing w:line="240" w:lineRule="auto"/>
              <w:ind w:right="108"/>
              <w:jc w:val="both"/>
              <w:rPr>
                <w:rFonts w:ascii="STXihei" w:eastAsia="STXihei" w:hAnsi="STXihei" w:cs="Arial"/>
                <w:sz w:val="20"/>
                <w:lang w:eastAsia="zh-CN"/>
              </w:rPr>
            </w:pPr>
            <w:r w:rsidRPr="006F7A45">
              <w:rPr>
                <w:rFonts w:ascii="STXihei" w:eastAsia="新細明體" w:hAnsi="STXihei" w:cs="SimSun" w:hint="eastAsia"/>
                <w:sz w:val="20"/>
              </w:rPr>
              <w:t>在擬備</w:t>
            </w:r>
            <w:r w:rsidRPr="00A479E9">
              <w:rPr>
                <w:rFonts w:ascii="STXihei" w:eastAsia="新細明體" w:hAnsi="STXihei" w:cs="SimSun" w:hint="eastAsia"/>
                <w:sz w:val="20"/>
              </w:rPr>
              <w:t>綜合</w:t>
            </w:r>
            <w:r w:rsidRPr="006F7A45">
              <w:rPr>
                <w:rFonts w:ascii="STXihei" w:eastAsia="新細明體" w:hAnsi="STXihei" w:cs="SimSun" w:hint="eastAsia"/>
                <w:sz w:val="20"/>
              </w:rPr>
              <w:t>財務報表時，</w:t>
            </w:r>
            <w:r w:rsidRPr="00302705">
              <w:rPr>
                <w:rFonts w:ascii="新細明體" w:eastAsia="新細明體" w:hAnsi="新細明體" w:cs="MHeiHK-Medium-Identity-H" w:hint="eastAsia"/>
                <w:color w:val="000000"/>
                <w:sz w:val="20"/>
              </w:rPr>
              <w:t>貴</w:t>
            </w:r>
            <w:r w:rsidRPr="00302705">
              <w:rPr>
                <w:rStyle w:val="headerthin1"/>
                <w:rFonts w:ascii="新細明體" w:eastAsia="新細明體" w:hAnsi="新細明體"/>
                <w:color w:val="000000"/>
                <w:sz w:val="20"/>
                <w:szCs w:val="20"/>
              </w:rPr>
              <w:t>中心監督</w:t>
            </w:r>
            <w:r w:rsidRPr="00302705">
              <w:rPr>
                <w:rStyle w:val="headerthin1"/>
                <w:rFonts w:ascii="新細明體" w:eastAsia="新細明體" w:hAnsi="新細明體" w:cs="細明體" w:hint="eastAsia"/>
                <w:color w:val="000000"/>
                <w:sz w:val="20"/>
                <w:szCs w:val="20"/>
              </w:rPr>
              <w:t>團</w:t>
            </w:r>
            <w:r w:rsidRPr="00302705">
              <w:rPr>
                <w:rStyle w:val="a6"/>
                <w:rFonts w:ascii="新細明體" w:eastAsia="新細明體" w:hAnsi="新細明體" w:cs="Arial"/>
                <w:b w:val="0"/>
                <w:color w:val="000000"/>
                <w:sz w:val="20"/>
              </w:rPr>
              <w:t>成</w:t>
            </w:r>
            <w:r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負責評估貴集團持續經營的能力，並在適用情況下披露與持續經營有關的事項，以及使用持續經營為會計基礎，除非</w:t>
            </w:r>
            <w:r w:rsidRPr="00302705">
              <w:rPr>
                <w:rFonts w:ascii="新細明體" w:eastAsia="新細明體" w:hAnsi="新細明體" w:cs="MHeiHK-Medium-Identity-H" w:hint="eastAsia"/>
                <w:color w:val="000000"/>
                <w:sz w:val="20"/>
              </w:rPr>
              <w:t>貴</w:t>
            </w:r>
            <w:r w:rsidRPr="00302705">
              <w:rPr>
                <w:rStyle w:val="headerthin1"/>
                <w:rFonts w:ascii="新細明體" w:eastAsia="新細明體" w:hAnsi="新細明體"/>
                <w:color w:val="000000"/>
                <w:sz w:val="20"/>
                <w:szCs w:val="20"/>
              </w:rPr>
              <w:t>中心監督</w:t>
            </w:r>
            <w:r w:rsidRPr="00302705">
              <w:rPr>
                <w:rStyle w:val="headerthin1"/>
                <w:rFonts w:ascii="新細明體" w:eastAsia="新細明體" w:hAnsi="新細明體" w:cs="細明體" w:hint="eastAsia"/>
                <w:color w:val="000000"/>
                <w:sz w:val="20"/>
                <w:szCs w:val="20"/>
              </w:rPr>
              <w:t>團</w:t>
            </w:r>
            <w:r w:rsidRPr="00302705">
              <w:rPr>
                <w:rStyle w:val="a6"/>
                <w:rFonts w:ascii="新細明體" w:eastAsia="新細明體" w:hAnsi="新細明體" w:cs="Arial"/>
                <w:b w:val="0"/>
                <w:color w:val="000000"/>
                <w:sz w:val="20"/>
              </w:rPr>
              <w:t>成</w:t>
            </w:r>
            <w:r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有意將貴集團清盤或停止經營，或別無其他實際的替代方案。</w:t>
            </w:r>
          </w:p>
          <w:p w:rsidR="009F0CFA" w:rsidRPr="00175664"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9F0CFA" w:rsidRDefault="009F0CFA" w:rsidP="00AA21D1">
            <w:pPr>
              <w:pStyle w:val="ab"/>
              <w:jc w:val="both"/>
              <w:rPr>
                <w:rFonts w:ascii="新細明體" w:hAnsi="新細明體"/>
                <w:sz w:val="20"/>
                <w:highlight w:val="yellow"/>
                <w:lang w:val="en-US"/>
              </w:rPr>
            </w:pPr>
          </w:p>
          <w:p w:rsidR="009F0CFA" w:rsidRPr="0024530D" w:rsidRDefault="009F0CFA" w:rsidP="009F0CFA">
            <w:pPr>
              <w:snapToGrid w:val="0"/>
              <w:spacing w:line="240" w:lineRule="auto"/>
              <w:ind w:right="105"/>
              <w:jc w:val="both"/>
              <w:rPr>
                <w:rFonts w:ascii="STXihei" w:eastAsia="STXihei" w:hAnsi="STXihei" w:cs="Arial"/>
                <w:sz w:val="20"/>
                <w:lang w:eastAsia="zh-CN"/>
              </w:rPr>
            </w:pPr>
          </w:p>
          <w:p w:rsidR="009F0CFA" w:rsidRDefault="009F0CFA" w:rsidP="009F0CFA">
            <w:pPr>
              <w:snapToGrid w:val="0"/>
              <w:spacing w:line="240" w:lineRule="auto"/>
              <w:ind w:right="105"/>
              <w:jc w:val="both"/>
              <w:rPr>
                <w:rFonts w:ascii="STXihei" w:eastAsia="STXihei" w:hAnsi="STXihei" w:cs="Arial"/>
                <w:sz w:val="20"/>
                <w:lang w:eastAsia="zh-CN"/>
              </w:rPr>
            </w:pPr>
          </w:p>
          <w:p w:rsidR="00C929EB" w:rsidRPr="0024530D" w:rsidRDefault="00C929EB" w:rsidP="00C929EB">
            <w:pPr>
              <w:snapToGrid w:val="0"/>
              <w:spacing w:line="240" w:lineRule="auto"/>
              <w:ind w:right="105"/>
              <w:jc w:val="both"/>
              <w:rPr>
                <w:rFonts w:ascii="STXihei" w:eastAsia="STXihei" w:hAnsi="STXihei" w:cs="Arial"/>
                <w:sz w:val="20"/>
                <w:lang w:eastAsia="zh-CN"/>
              </w:rPr>
            </w:pPr>
            <w:r w:rsidRPr="00302705">
              <w:rPr>
                <w:rFonts w:ascii="新細明體" w:eastAsia="新細明體" w:hAnsi="新細明體" w:cs="MHeiHK-Medium-Identity-H" w:hint="eastAsia"/>
                <w:color w:val="000000"/>
                <w:sz w:val="20"/>
              </w:rPr>
              <w:t>貴</w:t>
            </w:r>
            <w:r w:rsidRPr="00302705">
              <w:rPr>
                <w:rStyle w:val="headerthin1"/>
                <w:rFonts w:ascii="新細明體" w:eastAsia="新細明體" w:hAnsi="新細明體"/>
                <w:color w:val="000000"/>
                <w:sz w:val="20"/>
                <w:szCs w:val="20"/>
              </w:rPr>
              <w:t>中心監督</w:t>
            </w:r>
            <w:r w:rsidRPr="00302705">
              <w:rPr>
                <w:rStyle w:val="headerthin1"/>
                <w:rFonts w:ascii="新細明體" w:eastAsia="新細明體" w:hAnsi="新細明體" w:cs="細明體" w:hint="eastAsia"/>
                <w:color w:val="000000"/>
                <w:sz w:val="20"/>
                <w:szCs w:val="20"/>
              </w:rPr>
              <w:t>團</w:t>
            </w:r>
            <w:r w:rsidRPr="00302705">
              <w:rPr>
                <w:rStyle w:val="a6"/>
                <w:rFonts w:ascii="新細明體" w:eastAsia="新細明體" w:hAnsi="新細明體" w:cs="Arial"/>
                <w:b w:val="0"/>
                <w:color w:val="000000"/>
                <w:sz w:val="20"/>
              </w:rPr>
              <w:t>成</w:t>
            </w:r>
            <w:r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須負責監督貴集團的財務報告過程。</w:t>
            </w:r>
          </w:p>
          <w:p w:rsidR="009F0CFA" w:rsidRPr="00C929EB" w:rsidRDefault="009F0CFA" w:rsidP="009F0CFA">
            <w:pPr>
              <w:snapToGrid w:val="0"/>
              <w:spacing w:line="240" w:lineRule="auto"/>
              <w:ind w:right="105"/>
              <w:jc w:val="both"/>
              <w:rPr>
                <w:rFonts w:ascii="STXihei" w:eastAsia="STXihei" w:hAnsi="STXihei" w:cs="Arial"/>
                <w:sz w:val="20"/>
                <w:lang w:eastAsia="zh-CN"/>
              </w:rPr>
            </w:pPr>
          </w:p>
          <w:p w:rsidR="008E1612" w:rsidRDefault="008E1612" w:rsidP="00AA21D1">
            <w:pPr>
              <w:pStyle w:val="ab"/>
              <w:jc w:val="both"/>
              <w:rPr>
                <w:rFonts w:ascii="新細明體" w:hAnsi="新細明體"/>
                <w:sz w:val="20"/>
                <w:highlight w:val="yellow"/>
                <w:lang w:val="en-US"/>
              </w:rPr>
            </w:pPr>
            <w:r w:rsidRPr="006F7A45">
              <w:rPr>
                <w:rFonts w:ascii="STXihei" w:hAnsi="STXihei" w:cs="SimSun" w:hint="eastAsia"/>
                <w:b/>
                <w:bCs/>
                <w:sz w:val="20"/>
                <w:szCs w:val="20"/>
                <w:lang w:eastAsia="zh-TW"/>
              </w:rPr>
              <w:t>核數師就審計</w:t>
            </w:r>
            <w:r w:rsidRPr="00A479E9">
              <w:rPr>
                <w:rFonts w:ascii="STXihei" w:hAnsi="STXihei" w:cs="SimSun" w:hint="eastAsia"/>
                <w:b/>
                <w:bCs/>
                <w:sz w:val="20"/>
                <w:szCs w:val="20"/>
                <w:lang w:eastAsia="zh-TW"/>
              </w:rPr>
              <w:t>綜合</w:t>
            </w:r>
            <w:r w:rsidRPr="006F7A45">
              <w:rPr>
                <w:rFonts w:ascii="STXihei" w:hAnsi="STXihei" w:cs="SimSun" w:hint="eastAsia"/>
                <w:b/>
                <w:bCs/>
                <w:sz w:val="20"/>
                <w:szCs w:val="20"/>
                <w:lang w:eastAsia="zh-TW"/>
              </w:rPr>
              <w:t>財務報表承擔</w:t>
            </w:r>
            <w:r w:rsidR="008C2429" w:rsidRPr="00302705">
              <w:rPr>
                <w:rFonts w:ascii="STXihei" w:hAnsi="STXihei" w:cs="SimSun" w:hint="eastAsia"/>
                <w:b/>
                <w:bCs/>
                <w:color w:val="000000"/>
                <w:sz w:val="20"/>
                <w:szCs w:val="20"/>
                <w:lang w:eastAsia="zh-TW"/>
              </w:rPr>
              <w:t>之</w:t>
            </w:r>
            <w:r w:rsidRPr="006F7A45">
              <w:rPr>
                <w:rFonts w:ascii="STXihei" w:hAnsi="STXihei" w:cs="SimSun" w:hint="eastAsia"/>
                <w:b/>
                <w:bCs/>
                <w:sz w:val="20"/>
                <w:szCs w:val="20"/>
                <w:lang w:eastAsia="zh-TW"/>
              </w:rPr>
              <w:t>責任</w:t>
            </w:r>
          </w:p>
          <w:p w:rsidR="008E1612" w:rsidRPr="008C2429" w:rsidRDefault="008E1612" w:rsidP="00AA21D1">
            <w:pPr>
              <w:pStyle w:val="ab"/>
              <w:jc w:val="both"/>
              <w:rPr>
                <w:rFonts w:ascii="新細明體" w:hAnsi="新細明體"/>
                <w:sz w:val="20"/>
                <w:highlight w:val="yellow"/>
                <w:lang w:val="en-US"/>
              </w:rPr>
            </w:pPr>
          </w:p>
          <w:p w:rsidR="008E1612" w:rsidRDefault="008E1612" w:rsidP="00AA21D1">
            <w:pPr>
              <w:pStyle w:val="ab"/>
              <w:jc w:val="both"/>
              <w:rPr>
                <w:rFonts w:ascii="新細明體" w:hAnsi="新細明體"/>
                <w:sz w:val="20"/>
                <w:highlight w:val="yellow"/>
                <w:lang w:val="en-US"/>
              </w:rPr>
            </w:pPr>
          </w:p>
          <w:p w:rsidR="00A479E9" w:rsidRDefault="00A479E9"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r w:rsidRPr="006F7A45">
              <w:rPr>
                <w:rFonts w:ascii="STXihei" w:hAnsi="STXihei" w:cs="SimSun" w:hint="eastAsia"/>
                <w:sz w:val="20"/>
                <w:szCs w:val="20"/>
                <w:lang w:eastAsia="zh-TW"/>
              </w:rPr>
              <w:t>我們的目標，是對</w:t>
            </w:r>
            <w:r w:rsidRPr="00A479E9">
              <w:rPr>
                <w:rFonts w:ascii="STXihei" w:hAnsi="STXihei" w:cs="SimSun" w:hint="eastAsia"/>
                <w:sz w:val="20"/>
                <w:szCs w:val="20"/>
                <w:lang w:eastAsia="zh-TW"/>
              </w:rPr>
              <w:t>綜合</w:t>
            </w:r>
            <w:r w:rsidRPr="006F7A45">
              <w:rPr>
                <w:rFonts w:ascii="STXihei" w:hAnsi="STXihei" w:cs="SimSun" w:hint="eastAsia"/>
                <w:sz w:val="20"/>
                <w:szCs w:val="20"/>
                <w:lang w:eastAsia="zh-TW"/>
              </w:rPr>
              <w:t>財務報表整體是否不存在由於欺詐或錯誤而導致的重大錯誤陳述取得合理保證，並僅向</w:t>
            </w:r>
            <w:r w:rsidR="00A479E9" w:rsidRPr="00A479E9">
              <w:rPr>
                <w:rStyle w:val="headerthin1"/>
                <w:rFonts w:ascii="新細明體" w:hAnsi="新細明體"/>
                <w:color w:val="000000"/>
                <w:sz w:val="20"/>
                <w:szCs w:val="20"/>
              </w:rPr>
              <w:t>監督</w:t>
            </w:r>
            <w:r w:rsidR="00A479E9" w:rsidRPr="00A479E9">
              <w:rPr>
                <w:rStyle w:val="headerthin1"/>
                <w:rFonts w:ascii="新細明體" w:hAnsi="新細明體" w:cs="細明體" w:hint="eastAsia"/>
                <w:color w:val="000000"/>
                <w:sz w:val="20"/>
                <w:szCs w:val="20"/>
              </w:rPr>
              <w:t>團</w:t>
            </w:r>
            <w:r w:rsidRPr="006F7A45">
              <w:rPr>
                <w:rFonts w:ascii="STXihei" w:hAnsi="STXihei" w:cs="SimSun" w:hint="eastAsia"/>
                <w:sz w:val="20"/>
                <w:szCs w:val="20"/>
                <w:lang w:eastAsia="zh-TW"/>
              </w:rPr>
              <w:t>成員出具包括我們意見的核數師報告。除此以外，我們的報告不可用作其他用途。本行並不就本行報告之內容對任何其他人士承擔任何責任或接受任何義務。合理保證是高水準的保證，但不能保證按照《香港審計準則》進行的審計，在某一重大錯誤陳述存在時總能發現。錯誤陳述可以由欺詐或錯誤引起，如果合理預期它們單獨或匯總起來可能影響</w:t>
            </w:r>
            <w:r w:rsidRPr="00A479E9">
              <w:rPr>
                <w:rFonts w:ascii="STXihei" w:hAnsi="STXihei" w:cs="SimSun" w:hint="eastAsia"/>
                <w:sz w:val="20"/>
                <w:szCs w:val="20"/>
                <w:lang w:eastAsia="zh-TW"/>
              </w:rPr>
              <w:t>綜合</w:t>
            </w:r>
            <w:r w:rsidRPr="006F7A45">
              <w:rPr>
                <w:rFonts w:ascii="STXihei" w:hAnsi="STXihei" w:cs="SimSun" w:hint="eastAsia"/>
                <w:sz w:val="20"/>
                <w:szCs w:val="20"/>
                <w:lang w:eastAsia="zh-TW"/>
              </w:rPr>
              <w:t>財務報表使用者依</w:t>
            </w:r>
            <w:r w:rsidRPr="006F7A45">
              <w:rPr>
                <w:rFonts w:ascii="STXihei" w:hAnsi="STXihei" w:cs="SimSun" w:hint="eastAsia"/>
                <w:sz w:val="20"/>
                <w:szCs w:val="20"/>
                <w:lang w:eastAsia="zh-TW"/>
              </w:rPr>
              <w:lastRenderedPageBreak/>
              <w:t>賴財務報表所作出的經濟決定，則有關的錯誤陳述可被視作重大。</w:t>
            </w: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8E1612" w:rsidRDefault="008E1612" w:rsidP="00AA21D1">
            <w:pPr>
              <w:pStyle w:val="ab"/>
              <w:jc w:val="both"/>
              <w:rPr>
                <w:rFonts w:ascii="STXihei" w:hAnsi="STXihei" w:cs="SimSun"/>
                <w:sz w:val="20"/>
                <w:szCs w:val="20"/>
                <w:lang w:eastAsia="zh-TW"/>
              </w:rPr>
            </w:pPr>
          </w:p>
          <w:p w:rsidR="00A479E9" w:rsidRDefault="00A479E9" w:rsidP="00AA21D1">
            <w:pPr>
              <w:pStyle w:val="ab"/>
              <w:jc w:val="both"/>
              <w:rPr>
                <w:rFonts w:ascii="STXihei" w:hAnsi="STXihei" w:cs="SimSun"/>
                <w:sz w:val="20"/>
                <w:szCs w:val="20"/>
                <w:lang w:eastAsia="zh-TW"/>
              </w:rPr>
            </w:pPr>
          </w:p>
          <w:p w:rsidR="008E1612" w:rsidRDefault="008E1612" w:rsidP="000527ED">
            <w:pPr>
              <w:pStyle w:val="ab"/>
              <w:jc w:val="both"/>
              <w:rPr>
                <w:rFonts w:ascii="STXihei" w:hAnsi="STXihei" w:cs="SimSun"/>
                <w:sz w:val="20"/>
                <w:szCs w:val="20"/>
                <w:lang w:eastAsia="zh-TW"/>
              </w:rPr>
            </w:pPr>
            <w:r w:rsidRPr="006F7A45">
              <w:rPr>
                <w:rFonts w:ascii="STXihei" w:hAnsi="STXihei" w:cs="SimSun" w:hint="eastAsia"/>
                <w:sz w:val="20"/>
                <w:szCs w:val="20"/>
                <w:lang w:eastAsia="zh-TW"/>
              </w:rPr>
              <w:t>在根據《香港審計準則》進行審計的過程中，我們運用了專業判斷，保持了專業懷疑態度。我們亦：</w:t>
            </w:r>
          </w:p>
          <w:p w:rsidR="004051A4" w:rsidRPr="00216BB0" w:rsidRDefault="004051A4" w:rsidP="00AA21D1">
            <w:pPr>
              <w:pStyle w:val="ab"/>
              <w:jc w:val="both"/>
              <w:rPr>
                <w:rFonts w:ascii="STXihei" w:hAnsi="STXihei" w:cs="SimSun"/>
                <w:sz w:val="20"/>
                <w:szCs w:val="20"/>
                <w:lang w:eastAsia="zh-TW"/>
              </w:rPr>
            </w:pPr>
          </w:p>
          <w:p w:rsidR="004051A4" w:rsidRDefault="004051A4" w:rsidP="00AA21D1">
            <w:pPr>
              <w:pStyle w:val="ab"/>
              <w:jc w:val="both"/>
              <w:rPr>
                <w:rFonts w:ascii="STXihei" w:hAnsi="STXihei" w:cs="SimSun"/>
                <w:sz w:val="20"/>
                <w:szCs w:val="20"/>
                <w:lang w:eastAsia="zh-TW"/>
              </w:rPr>
            </w:pPr>
          </w:p>
          <w:p w:rsidR="008C2429" w:rsidRPr="0058402D" w:rsidRDefault="008C2429" w:rsidP="004051A4">
            <w:pPr>
              <w:tabs>
                <w:tab w:val="left" w:pos="640"/>
              </w:tabs>
              <w:snapToGrid w:val="0"/>
              <w:spacing w:before="120" w:line="240" w:lineRule="auto"/>
              <w:ind w:left="548" w:right="106" w:hanging="547"/>
              <w:jc w:val="both"/>
              <w:rPr>
                <w:rFonts w:ascii="STXihei" w:eastAsia="新細明體" w:hAnsi="STXihei" w:cs="Symbol"/>
                <w:sz w:val="20"/>
              </w:rPr>
            </w:pPr>
          </w:p>
          <w:p w:rsidR="004051A4" w:rsidRPr="0024530D" w:rsidRDefault="004051A4" w:rsidP="00AF2FF5">
            <w:pPr>
              <w:numPr>
                <w:ilvl w:val="0"/>
                <w:numId w:val="7"/>
              </w:numPr>
              <w:tabs>
                <w:tab w:val="left" w:pos="459"/>
              </w:tabs>
              <w:snapToGrid w:val="0"/>
              <w:spacing w:before="120" w:line="240" w:lineRule="auto"/>
              <w:ind w:right="106"/>
              <w:jc w:val="both"/>
              <w:rPr>
                <w:rFonts w:ascii="STXihei" w:eastAsia="STXihei" w:hAnsi="STXihei" w:cs="Arial"/>
                <w:sz w:val="20"/>
                <w:lang w:eastAsia="zh-CN"/>
              </w:rPr>
            </w:pPr>
            <w:r w:rsidRPr="006F7A45">
              <w:rPr>
                <w:rFonts w:ascii="STXihei" w:eastAsia="新細明體" w:hAnsi="STXihei" w:cs="SimSun" w:hint="eastAsia"/>
                <w:sz w:val="20"/>
              </w:rPr>
              <w:t>識別和評估由於欺詐或錯誤而導致</w:t>
            </w:r>
            <w:r w:rsidRPr="00A479E9">
              <w:rPr>
                <w:rFonts w:ascii="STXihei" w:eastAsia="新細明體" w:hAnsi="STXihei" w:cs="SimSun" w:hint="eastAsia"/>
                <w:sz w:val="20"/>
              </w:rPr>
              <w:t>綜合</w:t>
            </w:r>
            <w:r w:rsidRPr="006F7A45">
              <w:rPr>
                <w:rFonts w:ascii="STXihei" w:eastAsia="新細明體" w:hAnsi="STXihei" w:cs="SimSun" w:hint="eastAsia"/>
                <w:sz w:val="20"/>
              </w:rPr>
              <w:t>財務報表存在重大錯誤陳述的風險，設計及執行審計程式以應對這些風險，以及獲取充足和適當的審計憑證，作為我們意見的基礎。由於欺詐可能涉及串謀、偽造、蓄意遺漏、虛假陳述，或淩駕於內部控制之上，因此未能發現因欺詐而導致的重大錯誤陳述的風險高於未能發現因錯誤而導致的重大錯誤陳述的風險。</w:t>
            </w: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C94E95" w:rsidRDefault="00C94E95" w:rsidP="00AF2FF5">
            <w:pPr>
              <w:pStyle w:val="ab"/>
              <w:tabs>
                <w:tab w:val="left" w:pos="459"/>
              </w:tabs>
              <w:jc w:val="both"/>
              <w:rPr>
                <w:rFonts w:ascii="新細明體" w:hAnsi="新細明體"/>
                <w:sz w:val="20"/>
                <w:highlight w:val="yellow"/>
                <w:lang w:val="en-US"/>
              </w:rPr>
            </w:pPr>
          </w:p>
          <w:p w:rsidR="0089536E" w:rsidRDefault="0089536E" w:rsidP="00AF2FF5">
            <w:pPr>
              <w:pStyle w:val="ab"/>
              <w:tabs>
                <w:tab w:val="left" w:pos="459"/>
              </w:tabs>
              <w:jc w:val="both"/>
              <w:rPr>
                <w:rFonts w:ascii="新細明體" w:hAnsi="新細明體"/>
                <w:sz w:val="20"/>
                <w:highlight w:val="yellow"/>
                <w:lang w:val="en-US"/>
              </w:rPr>
            </w:pPr>
          </w:p>
          <w:p w:rsidR="00964EB1" w:rsidRPr="0024530D" w:rsidRDefault="00964EB1" w:rsidP="00AF2FF5">
            <w:pPr>
              <w:numPr>
                <w:ilvl w:val="0"/>
                <w:numId w:val="7"/>
              </w:numPr>
              <w:tabs>
                <w:tab w:val="left" w:pos="459"/>
              </w:tabs>
              <w:snapToGrid w:val="0"/>
              <w:spacing w:before="120" w:line="240" w:lineRule="auto"/>
              <w:ind w:right="109"/>
              <w:jc w:val="both"/>
              <w:rPr>
                <w:rFonts w:ascii="STXihei" w:eastAsia="STXihei" w:hAnsi="STXihei" w:cs="Arial"/>
                <w:sz w:val="20"/>
                <w:lang w:eastAsia="zh-CN"/>
              </w:rPr>
            </w:pPr>
            <w:r w:rsidRPr="006F7A45">
              <w:rPr>
                <w:rFonts w:ascii="STXihei" w:eastAsia="新細明體" w:hAnsi="STXihei" w:cs="SimSun" w:hint="eastAsia"/>
                <w:sz w:val="20"/>
              </w:rPr>
              <w:t>瞭解與審計相關的內部控制，以設計適當的審計程式，但目的並非對貴集團內部控制的有效性發表意見。</w:t>
            </w:r>
          </w:p>
          <w:p w:rsidR="004051A4" w:rsidRPr="00964EB1"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C94E95" w:rsidRDefault="00C94E95" w:rsidP="00AF2FF5">
            <w:pPr>
              <w:pStyle w:val="ab"/>
              <w:tabs>
                <w:tab w:val="left" w:pos="459"/>
              </w:tabs>
              <w:jc w:val="both"/>
              <w:rPr>
                <w:rFonts w:ascii="新細明體" w:hAnsi="新細明體"/>
                <w:sz w:val="20"/>
                <w:highlight w:val="yellow"/>
                <w:lang w:val="en-US"/>
              </w:rPr>
            </w:pPr>
          </w:p>
          <w:p w:rsidR="00964EB1" w:rsidRPr="0024530D" w:rsidRDefault="00964EB1" w:rsidP="00AF2FF5">
            <w:pPr>
              <w:numPr>
                <w:ilvl w:val="0"/>
                <w:numId w:val="7"/>
              </w:numPr>
              <w:tabs>
                <w:tab w:val="left" w:pos="459"/>
              </w:tabs>
              <w:snapToGrid w:val="0"/>
              <w:spacing w:before="120" w:line="240" w:lineRule="auto"/>
              <w:ind w:right="114"/>
              <w:jc w:val="both"/>
              <w:rPr>
                <w:rFonts w:ascii="STXihei" w:eastAsia="STXihei" w:hAnsi="STXihei" w:cs="Arial"/>
                <w:sz w:val="20"/>
                <w:lang w:eastAsia="zh-CN"/>
              </w:rPr>
            </w:pPr>
            <w:r w:rsidRPr="006F7A45">
              <w:rPr>
                <w:rFonts w:ascii="STXihei" w:eastAsia="新細明體" w:hAnsi="STXihei" w:cs="SimSun" w:hint="eastAsia"/>
                <w:sz w:val="20"/>
              </w:rPr>
              <w:t>評價</w:t>
            </w:r>
            <w:r w:rsidR="008C2429" w:rsidRPr="00302705">
              <w:rPr>
                <w:rFonts w:ascii="新細明體" w:eastAsia="新細明體" w:hAnsi="新細明體" w:cs="MHeiHK-Medium-Identity-H" w:hint="eastAsia"/>
                <w:color w:val="000000"/>
                <w:sz w:val="20"/>
              </w:rPr>
              <w:t>貴</w:t>
            </w:r>
            <w:r w:rsidR="008C2429" w:rsidRPr="00302705">
              <w:rPr>
                <w:rStyle w:val="headerthin1"/>
                <w:rFonts w:ascii="新細明體" w:eastAsia="新細明體" w:hAnsi="新細明體"/>
                <w:color w:val="000000"/>
                <w:sz w:val="20"/>
                <w:szCs w:val="20"/>
              </w:rPr>
              <w:t>中心監督</w:t>
            </w:r>
            <w:r w:rsidR="008C2429" w:rsidRPr="00302705">
              <w:rPr>
                <w:rStyle w:val="headerthin1"/>
                <w:rFonts w:ascii="新細明體" w:eastAsia="新細明體" w:hAnsi="新細明體" w:cs="細明體" w:hint="eastAsia"/>
                <w:color w:val="000000"/>
                <w:sz w:val="20"/>
                <w:szCs w:val="20"/>
              </w:rPr>
              <w:t>團</w:t>
            </w:r>
            <w:r w:rsidR="008C2429" w:rsidRPr="00302705">
              <w:rPr>
                <w:rStyle w:val="a6"/>
                <w:rFonts w:ascii="新細明體" w:eastAsia="新細明體" w:hAnsi="新細明體" w:cs="Arial"/>
                <w:b w:val="0"/>
                <w:color w:val="000000"/>
                <w:sz w:val="20"/>
              </w:rPr>
              <w:t>成</w:t>
            </w:r>
            <w:r w:rsidR="008C2429"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所採用會計政策的恰當性及作出會計估計和相關披露的合理性。</w:t>
            </w:r>
          </w:p>
          <w:p w:rsidR="004051A4" w:rsidRPr="00964EB1" w:rsidRDefault="004051A4" w:rsidP="00AF2FF5">
            <w:pPr>
              <w:pStyle w:val="ab"/>
              <w:tabs>
                <w:tab w:val="left" w:pos="459"/>
              </w:tabs>
              <w:jc w:val="both"/>
              <w:rPr>
                <w:rFonts w:ascii="新細明體" w:hAnsi="新細明體"/>
                <w:sz w:val="20"/>
                <w:highlight w:val="yellow"/>
                <w:lang w:val="en-US"/>
              </w:rPr>
            </w:pPr>
          </w:p>
          <w:p w:rsidR="00FD28FE" w:rsidRPr="0024530D" w:rsidRDefault="00FD28FE" w:rsidP="00AF2FF5">
            <w:pPr>
              <w:numPr>
                <w:ilvl w:val="0"/>
                <w:numId w:val="7"/>
              </w:numPr>
              <w:tabs>
                <w:tab w:val="left" w:pos="459"/>
              </w:tabs>
              <w:snapToGrid w:val="0"/>
              <w:spacing w:before="120" w:line="240" w:lineRule="auto"/>
              <w:ind w:right="107"/>
              <w:jc w:val="both"/>
              <w:rPr>
                <w:rFonts w:ascii="STXihei" w:eastAsia="STXihei" w:hAnsi="STXihei" w:cs="Arial"/>
                <w:sz w:val="20"/>
                <w:lang w:eastAsia="zh-CN"/>
              </w:rPr>
            </w:pPr>
            <w:r w:rsidRPr="006F7A45">
              <w:rPr>
                <w:rFonts w:ascii="STXihei" w:eastAsia="新細明體" w:hAnsi="STXihei" w:cs="SimSun" w:hint="eastAsia"/>
                <w:sz w:val="20"/>
              </w:rPr>
              <w:t>對</w:t>
            </w:r>
            <w:r w:rsidR="008C2429" w:rsidRPr="00302705">
              <w:rPr>
                <w:rFonts w:ascii="新細明體" w:eastAsia="新細明體" w:hAnsi="新細明體" w:cs="MHeiHK-Medium-Identity-H" w:hint="eastAsia"/>
                <w:color w:val="000000"/>
                <w:sz w:val="20"/>
              </w:rPr>
              <w:t>貴</w:t>
            </w:r>
            <w:r w:rsidR="008C2429" w:rsidRPr="00302705">
              <w:rPr>
                <w:rStyle w:val="headerthin1"/>
                <w:rFonts w:ascii="新細明體" w:eastAsia="新細明體" w:hAnsi="新細明體"/>
                <w:color w:val="000000"/>
                <w:sz w:val="20"/>
                <w:szCs w:val="20"/>
              </w:rPr>
              <w:t>中心監督</w:t>
            </w:r>
            <w:r w:rsidR="008C2429" w:rsidRPr="00302705">
              <w:rPr>
                <w:rStyle w:val="headerthin1"/>
                <w:rFonts w:ascii="新細明體" w:eastAsia="新細明體" w:hAnsi="新細明體" w:cs="細明體" w:hint="eastAsia"/>
                <w:color w:val="000000"/>
                <w:sz w:val="20"/>
                <w:szCs w:val="20"/>
              </w:rPr>
              <w:t>團</w:t>
            </w:r>
            <w:r w:rsidR="008C2429" w:rsidRPr="00302705">
              <w:rPr>
                <w:rStyle w:val="a6"/>
                <w:rFonts w:ascii="新細明體" w:eastAsia="新細明體" w:hAnsi="新細明體" w:cs="Arial"/>
                <w:b w:val="0"/>
                <w:color w:val="000000"/>
                <w:sz w:val="20"/>
              </w:rPr>
              <w:t>成</w:t>
            </w:r>
            <w:r w:rsidR="008C2429"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採用持續經營會計基礎的恰當性作出結論。根據所獲取的審計憑證，確定是否存在與事項或情況有關的重大不確定性，從而可能導致對貴集團的持續經營能力產生重大疑慮。如果我們認為存在重大不確定性，則有必要</w:t>
            </w:r>
            <w:r w:rsidRPr="006F7A45">
              <w:rPr>
                <w:rFonts w:ascii="STXihei" w:eastAsia="新細明體" w:hAnsi="STXihei" w:cs="SimSun" w:hint="eastAsia"/>
                <w:sz w:val="20"/>
              </w:rPr>
              <w:lastRenderedPageBreak/>
              <w:t>在核數師報告中提請使用者注意</w:t>
            </w:r>
            <w:r w:rsidRPr="00A479E9">
              <w:rPr>
                <w:rFonts w:ascii="STXihei" w:eastAsia="新細明體" w:hAnsi="STXihei" w:cs="SimSun" w:hint="eastAsia"/>
                <w:sz w:val="20"/>
              </w:rPr>
              <w:t>綜合</w:t>
            </w:r>
            <w:r w:rsidRPr="006F7A45">
              <w:rPr>
                <w:rFonts w:ascii="STXihei" w:eastAsia="新細明體" w:hAnsi="STXihei" w:cs="SimSun" w:hint="eastAsia"/>
                <w:sz w:val="20"/>
              </w:rPr>
              <w:t>財務報表中的相關披露。假若有關的披露不足，則我們應當</w:t>
            </w:r>
            <w:r w:rsidR="00600692" w:rsidRPr="00600692">
              <w:rPr>
                <w:rFonts w:ascii="STXihei" w:eastAsia="新細明體" w:hAnsi="STXihei" w:cs="SimSun" w:hint="eastAsia"/>
                <w:sz w:val="20"/>
                <w:highlight w:val="yellow"/>
              </w:rPr>
              <w:t>修訂我們的</w:t>
            </w:r>
            <w:r w:rsidRPr="006F7A45">
              <w:rPr>
                <w:rFonts w:ascii="STXihei" w:eastAsia="新細明體" w:hAnsi="STXihei" w:cs="SimSun" w:hint="eastAsia"/>
                <w:sz w:val="20"/>
              </w:rPr>
              <w:t>意見。我們的結論是基於核數師報告日止所取得的審計憑證。然而，未來事項或情況可能導致貴集團不能持續經營。</w:t>
            </w:r>
          </w:p>
          <w:p w:rsidR="004051A4" w:rsidRPr="00FD28FE"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FD28FE" w:rsidRPr="000527ED" w:rsidRDefault="00FD28FE" w:rsidP="00AF2FF5">
            <w:pPr>
              <w:numPr>
                <w:ilvl w:val="0"/>
                <w:numId w:val="7"/>
              </w:numPr>
              <w:tabs>
                <w:tab w:val="left" w:pos="459"/>
              </w:tabs>
              <w:snapToGrid w:val="0"/>
              <w:spacing w:before="120" w:line="240" w:lineRule="auto"/>
              <w:ind w:rightChars="25" w:right="60"/>
              <w:jc w:val="both"/>
              <w:rPr>
                <w:rFonts w:ascii="STXihei" w:eastAsia="STXihei" w:hAnsi="STXihei" w:cs="Arial"/>
                <w:sz w:val="20"/>
                <w:lang w:eastAsia="zh-CN"/>
              </w:rPr>
            </w:pPr>
            <w:r w:rsidRPr="006F7A45">
              <w:rPr>
                <w:rFonts w:ascii="STXihei" w:eastAsia="新細明體" w:hAnsi="STXihei" w:cs="SimSun" w:hint="eastAsia"/>
                <w:sz w:val="20"/>
              </w:rPr>
              <w:t>評價</w:t>
            </w:r>
            <w:r w:rsidRPr="00A479E9">
              <w:rPr>
                <w:rFonts w:ascii="STXihei" w:eastAsia="新細明體" w:hAnsi="STXihei" w:cs="SimSun" w:hint="eastAsia"/>
                <w:sz w:val="20"/>
              </w:rPr>
              <w:t>綜合</w:t>
            </w:r>
            <w:r w:rsidRPr="006F7A45">
              <w:rPr>
                <w:rFonts w:ascii="STXihei" w:eastAsia="新細明體" w:hAnsi="STXihei" w:cs="SimSun" w:hint="eastAsia"/>
                <w:sz w:val="20"/>
              </w:rPr>
              <w:t>財務報表的整體列報方式、結構和內</w:t>
            </w:r>
            <w:r w:rsidRPr="000527ED">
              <w:rPr>
                <w:rFonts w:ascii="STXihei" w:eastAsia="新細明體" w:hAnsi="STXihei" w:cs="SimSun" w:hint="eastAsia"/>
                <w:sz w:val="20"/>
              </w:rPr>
              <w:t>容，包括披露，以及綜合財務報表是否中肯反映交易和事項。</w:t>
            </w:r>
          </w:p>
          <w:p w:rsidR="004051A4" w:rsidRPr="00FD28FE"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F2FF5">
            <w:pPr>
              <w:pStyle w:val="ab"/>
              <w:tabs>
                <w:tab w:val="left" w:pos="459"/>
              </w:tabs>
              <w:jc w:val="both"/>
              <w:rPr>
                <w:rFonts w:ascii="新細明體" w:hAnsi="新細明體"/>
                <w:sz w:val="20"/>
                <w:highlight w:val="yellow"/>
                <w:lang w:val="en-US"/>
              </w:rPr>
            </w:pPr>
          </w:p>
          <w:p w:rsidR="00FD28FE" w:rsidRPr="0024530D" w:rsidRDefault="00FD28FE" w:rsidP="00AF2FF5">
            <w:pPr>
              <w:numPr>
                <w:ilvl w:val="0"/>
                <w:numId w:val="7"/>
              </w:numPr>
              <w:tabs>
                <w:tab w:val="left" w:pos="459"/>
              </w:tabs>
              <w:snapToGrid w:val="0"/>
              <w:spacing w:before="120" w:line="240" w:lineRule="auto"/>
              <w:ind w:right="108"/>
              <w:jc w:val="both"/>
              <w:rPr>
                <w:rFonts w:ascii="STXihei" w:eastAsia="STXihei" w:hAnsi="STXihei" w:cs="Arial"/>
                <w:sz w:val="20"/>
                <w:lang w:eastAsia="zh-CN"/>
              </w:rPr>
            </w:pPr>
            <w:r w:rsidRPr="006F7A45">
              <w:rPr>
                <w:rFonts w:ascii="STXihei" w:eastAsia="新細明體" w:hAnsi="STXihei" w:cs="SimSun" w:hint="eastAsia"/>
                <w:sz w:val="20"/>
              </w:rPr>
              <w:t>就貴集團內實體或業務活動的財務資訊獲取充足、適當的審計憑證，以對</w:t>
            </w:r>
            <w:r w:rsidRPr="00A479E9">
              <w:rPr>
                <w:rFonts w:ascii="STXihei" w:eastAsia="新細明體" w:hAnsi="STXihei" w:cs="SimSun" w:hint="eastAsia"/>
                <w:sz w:val="20"/>
              </w:rPr>
              <w:t>綜合</w:t>
            </w:r>
            <w:r w:rsidRPr="006F7A45">
              <w:rPr>
                <w:rFonts w:ascii="STXihei" w:eastAsia="新細明體" w:hAnsi="STXihei" w:cs="SimSun" w:hint="eastAsia"/>
                <w:sz w:val="20"/>
              </w:rPr>
              <w:t>財務報表發表意見。我們負責貴集團審計的方向、監督和執行。我們為審計意見承擔全部責任。</w:t>
            </w:r>
          </w:p>
          <w:p w:rsidR="004051A4" w:rsidRDefault="004051A4" w:rsidP="00AF2FF5">
            <w:pPr>
              <w:pStyle w:val="ab"/>
              <w:tabs>
                <w:tab w:val="left" w:pos="459"/>
              </w:tabs>
              <w:jc w:val="both"/>
              <w:rPr>
                <w:rFonts w:ascii="新細明體" w:hAnsi="新細明體"/>
                <w:sz w:val="20"/>
                <w:highlight w:val="yellow"/>
                <w:lang w:val="en-US"/>
              </w:rPr>
            </w:pPr>
          </w:p>
          <w:p w:rsidR="004051A4" w:rsidRDefault="004051A4" w:rsidP="00AA21D1">
            <w:pPr>
              <w:pStyle w:val="ab"/>
              <w:jc w:val="both"/>
              <w:rPr>
                <w:rFonts w:ascii="新細明體" w:hAnsi="新細明體"/>
                <w:sz w:val="20"/>
                <w:highlight w:val="yellow"/>
                <w:lang w:val="en-US"/>
              </w:rPr>
            </w:pPr>
          </w:p>
          <w:p w:rsidR="004051A4" w:rsidRDefault="004051A4" w:rsidP="00AA21D1">
            <w:pPr>
              <w:pStyle w:val="ab"/>
              <w:jc w:val="both"/>
              <w:rPr>
                <w:rFonts w:ascii="新細明體" w:hAnsi="新細明體"/>
                <w:sz w:val="20"/>
                <w:highlight w:val="yellow"/>
                <w:lang w:val="en-US"/>
              </w:rPr>
            </w:pPr>
          </w:p>
          <w:p w:rsidR="004051A4" w:rsidRDefault="004051A4" w:rsidP="00AA21D1">
            <w:pPr>
              <w:pStyle w:val="ab"/>
              <w:jc w:val="both"/>
              <w:rPr>
                <w:rFonts w:ascii="新細明體" w:hAnsi="新細明體"/>
                <w:sz w:val="20"/>
                <w:highlight w:val="yellow"/>
                <w:lang w:val="en-US"/>
              </w:rPr>
            </w:pPr>
          </w:p>
          <w:p w:rsidR="0089536E" w:rsidRDefault="0089536E" w:rsidP="00AA21D1">
            <w:pPr>
              <w:pStyle w:val="ab"/>
              <w:jc w:val="both"/>
              <w:rPr>
                <w:rFonts w:ascii="新細明體" w:hAnsi="新細明體"/>
                <w:sz w:val="20"/>
                <w:highlight w:val="yellow"/>
                <w:lang w:val="en-US"/>
              </w:rPr>
            </w:pPr>
          </w:p>
          <w:p w:rsidR="00AF2FF5" w:rsidRDefault="00AF2FF5" w:rsidP="004051A4">
            <w:pPr>
              <w:snapToGrid w:val="0"/>
              <w:spacing w:line="240" w:lineRule="auto"/>
              <w:ind w:right="101"/>
              <w:jc w:val="both"/>
              <w:rPr>
                <w:rFonts w:ascii="STXihei" w:eastAsia="新細明體" w:hAnsi="STXihei" w:cs="SimSun"/>
                <w:sz w:val="20"/>
              </w:rPr>
            </w:pPr>
          </w:p>
          <w:p w:rsidR="004051A4" w:rsidRPr="0024530D" w:rsidRDefault="004051A4" w:rsidP="004051A4">
            <w:pPr>
              <w:snapToGrid w:val="0"/>
              <w:spacing w:line="240" w:lineRule="auto"/>
              <w:ind w:right="101"/>
              <w:jc w:val="both"/>
              <w:rPr>
                <w:rFonts w:ascii="STXihei" w:eastAsia="STXihei" w:hAnsi="STXihei" w:cs="Arial"/>
                <w:sz w:val="20"/>
                <w:lang w:eastAsia="zh-CN"/>
              </w:rPr>
            </w:pPr>
            <w:r w:rsidRPr="006F7A45">
              <w:rPr>
                <w:rFonts w:ascii="STXihei" w:eastAsia="新細明體" w:hAnsi="STXihei" w:cs="SimSun" w:hint="eastAsia"/>
                <w:sz w:val="20"/>
              </w:rPr>
              <w:t>除其他事項外，我們與</w:t>
            </w:r>
            <w:r w:rsidR="008C2429" w:rsidRPr="00302705">
              <w:rPr>
                <w:rFonts w:ascii="新細明體" w:eastAsia="新細明體" w:hAnsi="新細明體" w:cs="MHeiHK-Medium-Identity-H" w:hint="eastAsia"/>
                <w:color w:val="000000"/>
                <w:sz w:val="20"/>
              </w:rPr>
              <w:t>貴</w:t>
            </w:r>
            <w:r w:rsidR="008C2429" w:rsidRPr="00302705">
              <w:rPr>
                <w:rStyle w:val="headerthin1"/>
                <w:rFonts w:ascii="新細明體" w:eastAsia="新細明體" w:hAnsi="新細明體"/>
                <w:color w:val="000000"/>
                <w:sz w:val="20"/>
                <w:szCs w:val="20"/>
              </w:rPr>
              <w:t>中心監督</w:t>
            </w:r>
            <w:r w:rsidR="008C2429" w:rsidRPr="00302705">
              <w:rPr>
                <w:rStyle w:val="headerthin1"/>
                <w:rFonts w:ascii="新細明體" w:eastAsia="新細明體" w:hAnsi="新細明體" w:cs="細明體" w:hint="eastAsia"/>
                <w:color w:val="000000"/>
                <w:sz w:val="20"/>
                <w:szCs w:val="20"/>
              </w:rPr>
              <w:t>團</w:t>
            </w:r>
            <w:r w:rsidR="008C2429" w:rsidRPr="00302705">
              <w:rPr>
                <w:rStyle w:val="a6"/>
                <w:rFonts w:ascii="新細明體" w:eastAsia="新細明體" w:hAnsi="新細明體" w:cs="Arial"/>
                <w:b w:val="0"/>
                <w:color w:val="000000"/>
                <w:sz w:val="20"/>
              </w:rPr>
              <w:t>成</w:t>
            </w:r>
            <w:r w:rsidR="008C2429" w:rsidRPr="00302705">
              <w:rPr>
                <w:rStyle w:val="a6"/>
                <w:rFonts w:ascii="新細明體" w:eastAsia="新細明體" w:hAnsi="新細明體" w:cs="細明體" w:hint="eastAsia"/>
                <w:b w:val="0"/>
                <w:color w:val="000000"/>
                <w:sz w:val="20"/>
              </w:rPr>
              <w:t>員</w:t>
            </w:r>
            <w:r w:rsidRPr="006F7A45">
              <w:rPr>
                <w:rFonts w:ascii="STXihei" w:eastAsia="新細明體" w:hAnsi="STXihei" w:cs="SimSun" w:hint="eastAsia"/>
                <w:sz w:val="20"/>
              </w:rPr>
              <w:t>溝通了計</w:t>
            </w:r>
            <w:r w:rsidR="00A479E9">
              <w:rPr>
                <w:rFonts w:ascii="STXihei" w:eastAsia="新細明體" w:hAnsi="STXihei" w:cs="SimSun" w:hint="eastAsia"/>
                <w:sz w:val="20"/>
              </w:rPr>
              <w:t>劃</w:t>
            </w:r>
            <w:r w:rsidRPr="006F7A45">
              <w:rPr>
                <w:rFonts w:ascii="STXihei" w:eastAsia="新細明體" w:hAnsi="STXihei" w:cs="SimSun" w:hint="eastAsia"/>
                <w:sz w:val="20"/>
              </w:rPr>
              <w:t>的審計範圍、時間安排、重大審計發現等，包括我們在審計中識別出內部控制的任何重大缺陷。</w:t>
            </w:r>
          </w:p>
          <w:p w:rsidR="004051A4" w:rsidRPr="004051A4" w:rsidRDefault="004051A4" w:rsidP="00AA21D1">
            <w:pPr>
              <w:pStyle w:val="ab"/>
              <w:jc w:val="both"/>
              <w:rPr>
                <w:rFonts w:ascii="新細明體" w:hAnsi="新細明體"/>
                <w:sz w:val="20"/>
                <w:highlight w:val="yellow"/>
                <w:lang w:val="en-US"/>
              </w:rPr>
            </w:pPr>
          </w:p>
          <w:p w:rsidR="004051A4" w:rsidRDefault="004051A4" w:rsidP="00AA21D1">
            <w:pPr>
              <w:pStyle w:val="ab"/>
              <w:jc w:val="both"/>
              <w:rPr>
                <w:rFonts w:ascii="新細明體" w:hAnsi="新細明體"/>
                <w:sz w:val="20"/>
                <w:highlight w:val="yellow"/>
                <w:lang w:val="en-US"/>
              </w:rPr>
            </w:pPr>
          </w:p>
          <w:p w:rsidR="00CD234B" w:rsidRDefault="00CD234B" w:rsidP="00AA21D1">
            <w:pPr>
              <w:pStyle w:val="ab"/>
              <w:jc w:val="both"/>
              <w:rPr>
                <w:rFonts w:ascii="新細明體" w:hAnsi="新細明體"/>
                <w:sz w:val="20"/>
                <w:highlight w:val="yellow"/>
                <w:lang w:val="en-US"/>
              </w:rPr>
            </w:pPr>
          </w:p>
          <w:p w:rsidR="00CD234B" w:rsidRDefault="00CD234B" w:rsidP="00AA21D1">
            <w:pPr>
              <w:pStyle w:val="ab"/>
              <w:jc w:val="both"/>
              <w:rPr>
                <w:rFonts w:ascii="新細明體" w:hAnsi="新細明體"/>
                <w:sz w:val="20"/>
                <w:highlight w:val="yellow"/>
                <w:lang w:val="en-US"/>
              </w:rPr>
            </w:pPr>
          </w:p>
          <w:p w:rsidR="00CD234B" w:rsidRDefault="00CD234B" w:rsidP="00AA21D1">
            <w:pPr>
              <w:pStyle w:val="ab"/>
              <w:jc w:val="both"/>
              <w:rPr>
                <w:rFonts w:ascii="新細明體" w:hAnsi="新細明體"/>
                <w:sz w:val="20"/>
                <w:highlight w:val="yellow"/>
                <w:lang w:val="en-US"/>
              </w:rPr>
            </w:pPr>
          </w:p>
          <w:p w:rsidR="0089536E" w:rsidRDefault="0089536E" w:rsidP="00AA21D1">
            <w:pPr>
              <w:pStyle w:val="ab"/>
              <w:jc w:val="both"/>
              <w:rPr>
                <w:rFonts w:ascii="STXihei" w:hAnsi="STXihei" w:cs="SimSun"/>
                <w:b/>
                <w:sz w:val="20"/>
                <w:szCs w:val="20"/>
                <w:lang w:val="en-US" w:eastAsia="zh-TW"/>
              </w:rPr>
            </w:pPr>
          </w:p>
          <w:p w:rsidR="00CD234B" w:rsidRDefault="00CD234B" w:rsidP="00AA21D1">
            <w:pPr>
              <w:pStyle w:val="ab"/>
              <w:jc w:val="both"/>
              <w:rPr>
                <w:rFonts w:ascii="新細明體" w:hAnsi="新細明體"/>
                <w:sz w:val="20"/>
                <w:highlight w:val="yellow"/>
                <w:lang w:val="en-US"/>
              </w:rPr>
            </w:pPr>
            <w:r w:rsidRPr="006F7A45">
              <w:rPr>
                <w:rFonts w:ascii="STXihei" w:hAnsi="STXihei" w:cs="SimSun" w:hint="eastAsia"/>
                <w:b/>
                <w:sz w:val="20"/>
                <w:szCs w:val="20"/>
                <w:lang w:eastAsia="zh-TW"/>
              </w:rPr>
              <w:t>德勤</w:t>
            </w:r>
            <w:r w:rsidR="00600692" w:rsidRPr="00600692">
              <w:rPr>
                <w:rFonts w:ascii="新細明體" w:hAnsi="新細明體" w:cs="SimSun" w:hint="eastAsia"/>
                <w:b/>
                <w:sz w:val="8"/>
                <w:szCs w:val="8"/>
                <w:highlight w:val="yellow"/>
                <w:lang w:eastAsia="zh-TW"/>
              </w:rPr>
              <w:t>●</w:t>
            </w:r>
            <w:r w:rsidRPr="006F7A45">
              <w:rPr>
                <w:rFonts w:ascii="STXihei" w:hAnsi="STXihei" w:cs="SimSun" w:hint="eastAsia"/>
                <w:b/>
                <w:sz w:val="20"/>
                <w:szCs w:val="20"/>
                <w:lang w:eastAsia="zh-TW"/>
              </w:rPr>
              <w:t>關黃</w:t>
            </w:r>
            <w:r w:rsidRPr="006F7A45">
              <w:rPr>
                <w:rFonts w:ascii="STXihei" w:hAnsi="STXihei" w:cs="Arial" w:hint="eastAsia"/>
                <w:b/>
                <w:sz w:val="20"/>
                <w:szCs w:val="20"/>
                <w:lang w:eastAsia="zh-TW"/>
              </w:rPr>
              <w:t>陳方會計師行</w:t>
            </w:r>
          </w:p>
          <w:p w:rsidR="00CE67FE" w:rsidRPr="00302705" w:rsidRDefault="00CE67FE" w:rsidP="00CE67FE">
            <w:pPr>
              <w:pStyle w:val="Pa12"/>
              <w:spacing w:line="240" w:lineRule="auto"/>
              <w:jc w:val="both"/>
              <w:rPr>
                <w:rStyle w:val="A72"/>
                <w:rFonts w:ascii="新細明體" w:eastAsia="新細明體" w:hAnsi="新細明體"/>
                <w:sz w:val="20"/>
                <w:szCs w:val="20"/>
              </w:rPr>
            </w:pPr>
            <w:r w:rsidRPr="00302705">
              <w:rPr>
                <w:rStyle w:val="A72"/>
                <w:rFonts w:ascii="新細明體" w:eastAsia="新細明體" w:hAnsi="新細明體" w:hint="eastAsia"/>
                <w:sz w:val="20"/>
                <w:szCs w:val="20"/>
              </w:rPr>
              <w:t>執業會計師</w:t>
            </w:r>
          </w:p>
          <w:p w:rsidR="005D06F7" w:rsidRDefault="005D06F7" w:rsidP="00AA21D1">
            <w:pPr>
              <w:pStyle w:val="ab"/>
              <w:jc w:val="both"/>
              <w:rPr>
                <w:rFonts w:ascii="STXihei" w:hAnsi="STXihei" w:cs="Arial"/>
                <w:sz w:val="20"/>
                <w:szCs w:val="20"/>
                <w:lang w:eastAsia="zh-TW"/>
              </w:rPr>
            </w:pPr>
            <w:r w:rsidRPr="006F7A45">
              <w:rPr>
                <w:rFonts w:ascii="STXihei" w:hAnsi="STXihei" w:cs="Arial" w:hint="eastAsia"/>
                <w:sz w:val="20"/>
                <w:szCs w:val="20"/>
                <w:lang w:eastAsia="zh-TW"/>
              </w:rPr>
              <w:t>香港</w:t>
            </w:r>
          </w:p>
          <w:p w:rsidR="000D64D5" w:rsidRDefault="000D64D5" w:rsidP="00AA21D1">
            <w:pPr>
              <w:pStyle w:val="ab"/>
              <w:jc w:val="both"/>
              <w:rPr>
                <w:rFonts w:ascii="STXihei" w:hAnsi="STXihei" w:cs="Arial"/>
                <w:sz w:val="20"/>
                <w:szCs w:val="20"/>
                <w:lang w:eastAsia="zh-TW"/>
              </w:rPr>
            </w:pPr>
          </w:p>
          <w:p w:rsidR="000D64D5" w:rsidRDefault="000D64D5" w:rsidP="00AA21D1">
            <w:pPr>
              <w:pStyle w:val="ab"/>
              <w:jc w:val="both"/>
              <w:rPr>
                <w:rFonts w:ascii="STXihei" w:hAnsi="STXihei" w:cs="Arial"/>
                <w:sz w:val="20"/>
                <w:szCs w:val="20"/>
                <w:lang w:eastAsia="zh-TW"/>
              </w:rPr>
            </w:pPr>
          </w:p>
          <w:p w:rsidR="000D64D5" w:rsidRDefault="000D64D5" w:rsidP="00AA21D1">
            <w:pPr>
              <w:pStyle w:val="ab"/>
              <w:jc w:val="both"/>
              <w:rPr>
                <w:rFonts w:ascii="STXihei" w:hAnsi="STXihei" w:cs="Arial"/>
                <w:sz w:val="20"/>
                <w:szCs w:val="20"/>
                <w:lang w:eastAsia="zh-TW"/>
              </w:rPr>
            </w:pPr>
          </w:p>
          <w:p w:rsidR="000D64D5" w:rsidRPr="004051A4" w:rsidRDefault="000D64D5" w:rsidP="00AA21D1">
            <w:pPr>
              <w:pStyle w:val="ab"/>
              <w:jc w:val="both"/>
              <w:rPr>
                <w:rFonts w:ascii="新細明體" w:hAnsi="新細明體"/>
                <w:sz w:val="20"/>
                <w:highlight w:val="yellow"/>
                <w:lang w:val="en-US"/>
              </w:rPr>
            </w:pPr>
          </w:p>
        </w:tc>
        <w:tc>
          <w:tcPr>
            <w:tcW w:w="284" w:type="dxa"/>
          </w:tcPr>
          <w:p w:rsidR="00223757" w:rsidRPr="00C7782A" w:rsidRDefault="00223757" w:rsidP="00C7782A">
            <w:pPr>
              <w:spacing w:line="240" w:lineRule="auto"/>
              <w:rPr>
                <w:highlight w:val="yellow"/>
              </w:rPr>
            </w:pPr>
          </w:p>
        </w:tc>
        <w:tc>
          <w:tcPr>
            <w:tcW w:w="5245" w:type="dxa"/>
          </w:tcPr>
          <w:p w:rsidR="00CB6C33" w:rsidRPr="00CB6C33" w:rsidRDefault="00CB6C33" w:rsidP="00CB6C33">
            <w:pPr>
              <w:spacing w:line="228" w:lineRule="auto"/>
              <w:ind w:left="360"/>
              <w:jc w:val="both"/>
              <w:rPr>
                <w:b/>
                <w:sz w:val="20"/>
              </w:rPr>
            </w:pPr>
            <w:r w:rsidRPr="00CB6C33">
              <w:rPr>
                <w:b/>
                <w:sz w:val="20"/>
              </w:rPr>
              <w:t>Opinion</w:t>
            </w:r>
          </w:p>
          <w:p w:rsidR="00CB6C33" w:rsidRPr="00CB6C33" w:rsidRDefault="00CB6C33" w:rsidP="00CB6C33">
            <w:pPr>
              <w:spacing w:line="228" w:lineRule="auto"/>
              <w:ind w:left="360"/>
              <w:jc w:val="both"/>
              <w:rPr>
                <w:sz w:val="20"/>
              </w:rPr>
            </w:pPr>
          </w:p>
          <w:p w:rsidR="00CB6C33" w:rsidRPr="00CB6C33" w:rsidRDefault="00CB6C33" w:rsidP="00CB6C33">
            <w:pPr>
              <w:spacing w:line="228" w:lineRule="auto"/>
              <w:ind w:left="360"/>
              <w:jc w:val="both"/>
              <w:rPr>
                <w:sz w:val="20"/>
              </w:rPr>
            </w:pPr>
            <w:r w:rsidRPr="00CB6C33">
              <w:rPr>
                <w:sz w:val="20"/>
              </w:rPr>
              <w:t xml:space="preserve">We have audited the consolidated financial statements of Hong Kong Arts Centre (the "Centre") and its subsidiaries (collectively referred to as the "Group") set out on pages 4 to </w:t>
            </w:r>
            <w:r w:rsidR="00004DAC">
              <w:rPr>
                <w:sz w:val="20"/>
              </w:rPr>
              <w:t>40</w:t>
            </w:r>
            <w:r w:rsidRPr="00CB6C33">
              <w:rPr>
                <w:sz w:val="20"/>
              </w:rPr>
              <w:t>, which comprise the consolidated statement of financial position as at 30 June 201</w:t>
            </w:r>
            <w:r w:rsidR="006C06FD">
              <w:rPr>
                <w:sz w:val="20"/>
              </w:rPr>
              <w:t>8</w:t>
            </w:r>
            <w:r w:rsidRPr="00CB6C33">
              <w:rPr>
                <w:sz w:val="20"/>
              </w:rPr>
              <w:t>, and the consolidated statement of profit or loss and other comprehensive income, consolidated statement of changes in reserve funds and consolidated statement of cash flows for the year then ended, and notes to the consolidated financial statements, including a summary of significant accounting policies.</w:t>
            </w:r>
          </w:p>
          <w:p w:rsidR="00CB6C33" w:rsidRPr="00CB6C33" w:rsidRDefault="00CB6C33" w:rsidP="00CB6C33">
            <w:pPr>
              <w:spacing w:line="228" w:lineRule="auto"/>
              <w:ind w:left="360"/>
              <w:jc w:val="both"/>
              <w:rPr>
                <w:sz w:val="20"/>
              </w:rPr>
            </w:pPr>
          </w:p>
          <w:p w:rsidR="00CB6C33" w:rsidRPr="00CB6C33" w:rsidRDefault="00CB6C33" w:rsidP="00CB6C33">
            <w:pPr>
              <w:spacing w:line="228" w:lineRule="auto"/>
              <w:ind w:left="360"/>
              <w:jc w:val="both"/>
              <w:rPr>
                <w:sz w:val="20"/>
              </w:rPr>
            </w:pPr>
            <w:r w:rsidRPr="00CB6C33">
              <w:rPr>
                <w:sz w:val="20"/>
              </w:rPr>
              <w:t>In our opinion, the consolidated financial statements give a true and fair view of the consolidated financial position of the Group as at 30 June 201</w:t>
            </w:r>
            <w:r w:rsidR="006C06FD">
              <w:rPr>
                <w:sz w:val="20"/>
              </w:rPr>
              <w:t>8</w:t>
            </w:r>
            <w:r w:rsidRPr="00CB6C33">
              <w:rPr>
                <w:sz w:val="20"/>
              </w:rPr>
              <w:t>, and of its consolidated financial performance and its consolidated cash flows for the year then ended in accordance with Hong Kong Financial Reporting Standards ("HKFRSs") issued by the Hong Kong Institute of Certified Public Accountants ("HKICPA") and have been properly prepared in compliance with the Hong Kong Arts Centre Ordinance 1986.</w:t>
            </w:r>
          </w:p>
          <w:p w:rsidR="00CB6C33" w:rsidRPr="00CB6C33" w:rsidRDefault="00CB6C33" w:rsidP="00CB6C33">
            <w:pPr>
              <w:spacing w:line="228" w:lineRule="auto"/>
              <w:ind w:left="360"/>
              <w:jc w:val="both"/>
              <w:rPr>
                <w:sz w:val="20"/>
              </w:rPr>
            </w:pPr>
          </w:p>
          <w:p w:rsidR="00CB6C33" w:rsidRPr="00CB6C33" w:rsidRDefault="00CB6C33" w:rsidP="00CB6C33">
            <w:pPr>
              <w:spacing w:line="228" w:lineRule="auto"/>
              <w:ind w:left="360"/>
              <w:jc w:val="both"/>
              <w:rPr>
                <w:b/>
                <w:sz w:val="20"/>
              </w:rPr>
            </w:pPr>
            <w:r w:rsidRPr="00CB6C33">
              <w:rPr>
                <w:b/>
                <w:sz w:val="20"/>
              </w:rPr>
              <w:t>Basis for Opinion</w:t>
            </w:r>
          </w:p>
          <w:p w:rsidR="00CB6C33" w:rsidRPr="00CB6C33" w:rsidRDefault="00CB6C33" w:rsidP="00CB6C33">
            <w:pPr>
              <w:snapToGrid w:val="0"/>
              <w:spacing w:line="228" w:lineRule="auto"/>
              <w:ind w:left="360"/>
              <w:jc w:val="both"/>
              <w:rPr>
                <w:sz w:val="20"/>
              </w:rPr>
            </w:pPr>
          </w:p>
          <w:p w:rsidR="00CB6C33" w:rsidRPr="00CB6C33" w:rsidRDefault="00CB6C33" w:rsidP="00CB6C33">
            <w:pPr>
              <w:spacing w:line="228" w:lineRule="auto"/>
              <w:ind w:left="360"/>
              <w:jc w:val="both"/>
              <w:rPr>
                <w:sz w:val="20"/>
              </w:rPr>
            </w:pPr>
            <w:r w:rsidRPr="00CB6C33">
              <w:rPr>
                <w:sz w:val="20"/>
              </w:rPr>
              <w:t>We conducted our audit in accordance with Hong Kong Standards on Auditing ("HKSAs") issued by the HKICPA.  Our responsibilities under those standards are further described in the Auditor's Responsibilities for the Audit of the Consolidated Financial Statements section of our report.  We are independent of the Group in accordance with the HKICPA's Code of Ethics for Professional Accountants ("the Code"), and we have fulfilled our other ethical responsibilities in accordance with the Code.  We believe that the audit evidence we have obtained is sufficient and appropriate to provide a basis for our opinion.</w:t>
            </w:r>
          </w:p>
          <w:p w:rsidR="00CB6C33" w:rsidRPr="00CB6C33" w:rsidRDefault="00CB6C33" w:rsidP="00CB6C33">
            <w:pPr>
              <w:spacing w:line="228" w:lineRule="auto"/>
              <w:ind w:left="360"/>
              <w:jc w:val="both"/>
              <w:rPr>
                <w:sz w:val="20"/>
              </w:rPr>
            </w:pPr>
          </w:p>
          <w:p w:rsidR="00E80491" w:rsidRDefault="00E80491" w:rsidP="00CB6C33">
            <w:pPr>
              <w:ind w:left="360" w:right="281"/>
              <w:jc w:val="both"/>
              <w:rPr>
                <w:b/>
                <w:sz w:val="20"/>
              </w:rPr>
            </w:pPr>
          </w:p>
          <w:p w:rsidR="00E80491" w:rsidRDefault="00E80491" w:rsidP="00CB6C33">
            <w:pPr>
              <w:ind w:left="360" w:right="281"/>
              <w:jc w:val="both"/>
              <w:rPr>
                <w:b/>
                <w:sz w:val="20"/>
              </w:rPr>
            </w:pPr>
          </w:p>
          <w:p w:rsidR="00E80491" w:rsidRDefault="00E80491" w:rsidP="00CB6C33">
            <w:pPr>
              <w:ind w:left="360" w:right="281"/>
              <w:jc w:val="both"/>
              <w:rPr>
                <w:b/>
                <w:sz w:val="20"/>
              </w:rPr>
            </w:pPr>
          </w:p>
          <w:p w:rsidR="00E80491" w:rsidRDefault="00E80491" w:rsidP="00CB6C33">
            <w:pPr>
              <w:ind w:left="360" w:right="281"/>
              <w:jc w:val="both"/>
              <w:rPr>
                <w:b/>
                <w:sz w:val="20"/>
              </w:rPr>
            </w:pPr>
          </w:p>
          <w:p w:rsidR="00E80491" w:rsidRDefault="00E80491" w:rsidP="00CB6C33">
            <w:pPr>
              <w:ind w:left="360" w:right="281"/>
              <w:jc w:val="both"/>
              <w:rPr>
                <w:b/>
                <w:sz w:val="20"/>
              </w:rPr>
            </w:pPr>
          </w:p>
          <w:p w:rsidR="00CB6C33" w:rsidRPr="00CB6C33" w:rsidRDefault="00CB6C33" w:rsidP="00CB6C33">
            <w:pPr>
              <w:ind w:left="360" w:right="281"/>
              <w:jc w:val="both"/>
              <w:rPr>
                <w:b/>
                <w:sz w:val="20"/>
              </w:rPr>
            </w:pPr>
            <w:r w:rsidRPr="00CB6C33">
              <w:rPr>
                <w:b/>
                <w:sz w:val="20"/>
              </w:rPr>
              <w:lastRenderedPageBreak/>
              <w:t>Responsibilities of Governors for the Consolidated Financial Statements</w:t>
            </w:r>
          </w:p>
          <w:p w:rsidR="00CB6C33" w:rsidRPr="00CB6C33" w:rsidRDefault="00CB6C33" w:rsidP="00CB6C33">
            <w:pPr>
              <w:ind w:left="360" w:right="281"/>
              <w:jc w:val="both"/>
              <w:rPr>
                <w:sz w:val="20"/>
              </w:rPr>
            </w:pPr>
          </w:p>
          <w:p w:rsidR="00CB6C33" w:rsidRPr="00CB6C33" w:rsidRDefault="00CB6C33" w:rsidP="00CB6C33">
            <w:pPr>
              <w:ind w:left="360" w:right="281"/>
              <w:jc w:val="both"/>
              <w:rPr>
                <w:sz w:val="20"/>
              </w:rPr>
            </w:pPr>
            <w:r w:rsidRPr="00CB6C33">
              <w:rPr>
                <w:sz w:val="20"/>
              </w:rPr>
              <w:t>The governors of the Centre are responsible for the preparation of the consolidated financial statements that give a true and fair view in accordance with HKFRSs issued by the HKICPA and the Hong Kong Arts Centre Ordinance 1986, and for such internal control as the governors determine is necessary to enable the preparation of consolidated financial statements that are free from material misstatement, whether due to fraud or error.</w:t>
            </w:r>
          </w:p>
          <w:p w:rsidR="00CB6C33" w:rsidRPr="00CB6C33" w:rsidRDefault="00CB6C33" w:rsidP="00CB6C33">
            <w:pPr>
              <w:ind w:left="360" w:right="281"/>
              <w:jc w:val="both"/>
              <w:rPr>
                <w:sz w:val="20"/>
              </w:rPr>
            </w:pPr>
          </w:p>
          <w:p w:rsidR="00CB6C33" w:rsidRPr="00CB6C33" w:rsidRDefault="00CB6C33" w:rsidP="00CB6C33">
            <w:pPr>
              <w:ind w:left="360" w:right="281"/>
              <w:jc w:val="both"/>
              <w:rPr>
                <w:sz w:val="20"/>
              </w:rPr>
            </w:pPr>
            <w:r w:rsidRPr="00CB6C33">
              <w:rPr>
                <w:sz w:val="20"/>
              </w:rPr>
              <w:t>In preparing the consolidated financial statements, the governors are responsible for assessing the Group's ability to continue as a going concern, disclosing, as applicable, matters related to going concern and using the going concern basis of accounting unless the governors either intend to liquidate the Group or to cease operations, or have no realistic alternative but to do so.</w:t>
            </w:r>
          </w:p>
          <w:p w:rsidR="00CB6C33" w:rsidRPr="00CB6C33" w:rsidRDefault="00CB6C33" w:rsidP="00CB6C33">
            <w:pPr>
              <w:ind w:left="360" w:right="281"/>
              <w:jc w:val="both"/>
              <w:rPr>
                <w:sz w:val="20"/>
              </w:rPr>
            </w:pPr>
          </w:p>
          <w:p w:rsidR="008E1612" w:rsidRDefault="00CB6C33" w:rsidP="00CB6C33">
            <w:pPr>
              <w:ind w:left="360" w:right="281"/>
              <w:jc w:val="both"/>
              <w:rPr>
                <w:b/>
                <w:sz w:val="20"/>
              </w:rPr>
            </w:pPr>
            <w:r w:rsidRPr="00CB6C33">
              <w:rPr>
                <w:sz w:val="20"/>
              </w:rPr>
              <w:t>The governors of the Centre are responsible for overseeing the Group's financial reporting process.</w:t>
            </w:r>
            <w:r w:rsidRPr="00CB6C33">
              <w:rPr>
                <w:b/>
                <w:sz w:val="20"/>
              </w:rPr>
              <w:t xml:space="preserve"> </w:t>
            </w:r>
          </w:p>
          <w:p w:rsidR="008E1612" w:rsidRDefault="008E1612" w:rsidP="00CB6C33">
            <w:pPr>
              <w:ind w:left="360" w:right="281"/>
              <w:jc w:val="both"/>
              <w:rPr>
                <w:b/>
                <w:sz w:val="20"/>
              </w:rPr>
            </w:pPr>
          </w:p>
          <w:p w:rsidR="00CB6C33" w:rsidRPr="00CB6C33" w:rsidRDefault="00CB6C33" w:rsidP="00CB6C33">
            <w:pPr>
              <w:ind w:left="360" w:right="281"/>
              <w:jc w:val="both"/>
              <w:rPr>
                <w:b/>
                <w:sz w:val="20"/>
              </w:rPr>
            </w:pPr>
            <w:r w:rsidRPr="00CB6C33">
              <w:rPr>
                <w:b/>
                <w:sz w:val="20"/>
              </w:rPr>
              <w:t>Auditor's Responsibilities for the Audit of the Consolidated Financial Statements</w:t>
            </w:r>
          </w:p>
          <w:p w:rsidR="00CB6C33" w:rsidRPr="00CB6C33" w:rsidRDefault="00CB6C33" w:rsidP="00CB6C33">
            <w:pPr>
              <w:ind w:left="360" w:right="281"/>
              <w:jc w:val="both"/>
              <w:rPr>
                <w:sz w:val="20"/>
              </w:rPr>
            </w:pPr>
          </w:p>
          <w:p w:rsidR="00CB6C33" w:rsidRPr="00CB6C33" w:rsidRDefault="00CB6C33" w:rsidP="00CB6C33">
            <w:pPr>
              <w:ind w:left="360" w:right="281"/>
              <w:jc w:val="both"/>
              <w:rPr>
                <w:sz w:val="20"/>
              </w:rPr>
            </w:pPr>
            <w:r w:rsidRPr="00CB6C33">
              <w:rPr>
                <w:sz w:val="20"/>
              </w:rPr>
              <w:t xml:space="preserve">Our objectives are to obtain reasonable assurance about whether the consolidated financial statements as a whole are free from material misstatement, whether due to fraud or error, and to issue an auditor's report that includes our opinion solely to you, as a body, in accordance with our agreed terms of engagement, and for no other purpose.  We do not assume responsibility towards or accept liability to any other person for the </w:t>
            </w:r>
            <w:r w:rsidRPr="00CB6C33">
              <w:rPr>
                <w:sz w:val="20"/>
              </w:rPr>
              <w:lastRenderedPageBreak/>
              <w:t>contents of this report.  Reasonable assurance is a high level of assurance, but is not a guarantee that an audit conducted in accordance with HKSAs will always detect a material misstatement when it exists.  Misstatements can arise from fraud or error and are considered material if, individually or in the aggregate, they could reasonably be expected to influence the economic decisions of users taken on the basis of these consolidated financial statements.</w:t>
            </w:r>
          </w:p>
          <w:p w:rsidR="00CB6C33" w:rsidRPr="00CB6C33" w:rsidRDefault="00CB6C33" w:rsidP="00CB6C33">
            <w:pPr>
              <w:ind w:left="360" w:right="281"/>
              <w:jc w:val="both"/>
              <w:rPr>
                <w:sz w:val="20"/>
              </w:rPr>
            </w:pPr>
          </w:p>
          <w:p w:rsidR="00CB6C33" w:rsidRPr="00CB6C33" w:rsidRDefault="00CB6C33" w:rsidP="00CB6C33">
            <w:pPr>
              <w:snapToGrid w:val="0"/>
              <w:ind w:left="360" w:right="281"/>
              <w:jc w:val="both"/>
              <w:rPr>
                <w:sz w:val="20"/>
              </w:rPr>
            </w:pPr>
            <w:r w:rsidRPr="00CB6C33">
              <w:rPr>
                <w:sz w:val="20"/>
              </w:rPr>
              <w:t>As part of an audit in accordance with HKSAs, we exercise professional judgment and maintain professional skepticism throughout the audit.  We also:</w:t>
            </w:r>
          </w:p>
          <w:p w:rsidR="00CB6C33" w:rsidRPr="00CB6C33" w:rsidRDefault="00CB6C33" w:rsidP="00CB6C33">
            <w:pPr>
              <w:snapToGrid w:val="0"/>
              <w:ind w:left="360" w:right="281"/>
              <w:jc w:val="both"/>
              <w:rPr>
                <w:sz w:val="20"/>
              </w:rPr>
            </w:pP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r w:rsidRPr="00CB6C33">
              <w:rPr>
                <w:rFonts w:ascii="Times New Roman" w:eastAsia="SimSun" w:hAnsi="Times New Roman"/>
                <w:sz w:val="20"/>
                <w:szCs w:val="20"/>
              </w:rPr>
              <w:sym w:font="Symbol" w:char="F0B7"/>
            </w:r>
            <w:r w:rsidRPr="00CB6C33">
              <w:rPr>
                <w:rFonts w:ascii="Times New Roman" w:eastAsia="SimSun" w:hAnsi="Times New Roman"/>
                <w:sz w:val="20"/>
                <w:szCs w:val="20"/>
              </w:rPr>
              <w:tab/>
              <w:t>Identify and assess the risks of material misstatement of the consolidated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p>
          <w:p w:rsidR="008C2429" w:rsidRDefault="008C2429" w:rsidP="00CB6C33">
            <w:pPr>
              <w:pStyle w:val="af"/>
              <w:snapToGrid w:val="0"/>
              <w:ind w:leftChars="0" w:left="1080" w:right="281" w:hanging="720"/>
              <w:contextualSpacing/>
              <w:jc w:val="both"/>
              <w:rPr>
                <w:rFonts w:ascii="Times New Roman" w:eastAsia="SimSun" w:hAnsi="Times New Roman"/>
                <w:sz w:val="20"/>
                <w:szCs w:val="20"/>
              </w:rPr>
            </w:pP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r w:rsidRPr="00CB6C33">
              <w:rPr>
                <w:rFonts w:ascii="Times New Roman" w:eastAsia="SimSun" w:hAnsi="Times New Roman"/>
                <w:sz w:val="20"/>
                <w:szCs w:val="20"/>
              </w:rPr>
              <w:sym w:font="Symbol" w:char="F0B7"/>
            </w:r>
            <w:r w:rsidRPr="00CB6C33">
              <w:rPr>
                <w:rFonts w:ascii="Times New Roman" w:eastAsia="SimSun" w:hAnsi="Times New Roman"/>
                <w:sz w:val="20"/>
                <w:szCs w:val="20"/>
              </w:rPr>
              <w:tab/>
              <w:t>Obtain an understanding of internal control relevant to the audit in order to design audit procedures that are appropriate in the circumstances, but not for the purpose of expressing an opinion on the effectiveness of the Group's internal control.</w:t>
            </w: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p>
          <w:p w:rsidR="00025556" w:rsidRDefault="00CB6C33" w:rsidP="00025556">
            <w:pPr>
              <w:pStyle w:val="af"/>
              <w:snapToGrid w:val="0"/>
              <w:ind w:leftChars="0" w:left="1080" w:right="281" w:hanging="720"/>
              <w:contextualSpacing/>
              <w:jc w:val="both"/>
              <w:rPr>
                <w:rFonts w:ascii="Times New Roman" w:eastAsia="SimSun" w:hAnsi="Times New Roman"/>
                <w:sz w:val="20"/>
                <w:szCs w:val="20"/>
              </w:rPr>
            </w:pPr>
            <w:r w:rsidRPr="00CB6C33">
              <w:rPr>
                <w:rFonts w:ascii="Times New Roman" w:eastAsia="SimSun" w:hAnsi="Times New Roman"/>
                <w:sz w:val="20"/>
                <w:szCs w:val="20"/>
              </w:rPr>
              <w:sym w:font="Symbol" w:char="F0B7"/>
            </w:r>
            <w:r w:rsidRPr="00CB6C33">
              <w:rPr>
                <w:rFonts w:ascii="Times New Roman" w:eastAsia="SimSun" w:hAnsi="Times New Roman"/>
                <w:sz w:val="20"/>
                <w:szCs w:val="20"/>
              </w:rPr>
              <w:tab/>
              <w:t>Evaluate the appropriateness of accounting policies used and the reasonableness of accounting estimates and related disclosures made by the governors.</w:t>
            </w:r>
          </w:p>
          <w:p w:rsidR="00025556" w:rsidRDefault="00025556" w:rsidP="00025556">
            <w:pPr>
              <w:pStyle w:val="af"/>
              <w:snapToGrid w:val="0"/>
              <w:ind w:leftChars="0" w:left="1080" w:right="281" w:hanging="720"/>
              <w:contextualSpacing/>
              <w:jc w:val="both"/>
              <w:rPr>
                <w:rFonts w:ascii="Times New Roman" w:eastAsia="SimSun" w:hAnsi="Times New Roman"/>
                <w:sz w:val="20"/>
                <w:szCs w:val="20"/>
              </w:rPr>
            </w:pPr>
          </w:p>
          <w:p w:rsidR="004051A4" w:rsidRDefault="00CB6C33" w:rsidP="00025556">
            <w:pPr>
              <w:pStyle w:val="af"/>
              <w:snapToGrid w:val="0"/>
              <w:ind w:leftChars="0" w:left="1080" w:right="281" w:hanging="720"/>
              <w:contextualSpacing/>
              <w:jc w:val="both"/>
              <w:rPr>
                <w:b/>
                <w:sz w:val="20"/>
              </w:rPr>
            </w:pPr>
            <w:r w:rsidRPr="00CB6C33">
              <w:rPr>
                <w:rFonts w:eastAsia="SimSun"/>
                <w:sz w:val="20"/>
              </w:rPr>
              <w:sym w:font="Symbol" w:char="F0B7"/>
            </w:r>
            <w:r w:rsidRPr="00CB6C33">
              <w:rPr>
                <w:rFonts w:eastAsia="SimSun"/>
                <w:sz w:val="20"/>
              </w:rPr>
              <w:tab/>
              <w:t xml:space="preserve">Conclude on the appropriateness of the governors' use of the going concern basis of accounting and, based on the audit evidence obtained, whether a material uncertainty exists related to events or conditions that may cast </w:t>
            </w:r>
            <w:r w:rsidRPr="00600692">
              <w:rPr>
                <w:rFonts w:eastAsia="SimSun"/>
                <w:sz w:val="20"/>
                <w:szCs w:val="20"/>
              </w:rPr>
              <w:t xml:space="preserve">significant doubt </w:t>
            </w:r>
            <w:r w:rsidRPr="00CB6C33">
              <w:rPr>
                <w:rFonts w:eastAsia="SimSun"/>
                <w:sz w:val="20"/>
              </w:rPr>
              <w:t xml:space="preserve">on the Group's ability to </w:t>
            </w:r>
            <w:r w:rsidRPr="00CB6C33">
              <w:rPr>
                <w:rFonts w:eastAsia="SimSun"/>
                <w:sz w:val="20"/>
              </w:rPr>
              <w:lastRenderedPageBreak/>
              <w:t>continue as a going concern.  If we conclude that a material uncertainty exists, we are required to draw attention in our auditor's report to the related disclosures in the consolidated financial statements or, if such disclosures are inadequate, to modify our opinion.  Our conclusions are based on the audit evidence obtained up to the date of our auditor's report.  However, future events or conditions may cause the Group to cease to continue as a going concern.</w:t>
            </w:r>
            <w:r w:rsidRPr="00CB6C33">
              <w:rPr>
                <w:b/>
                <w:sz w:val="20"/>
              </w:rPr>
              <w:t xml:space="preserve"> </w:t>
            </w: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lang w:val="en-GB"/>
              </w:rPr>
            </w:pPr>
          </w:p>
          <w:p w:rsidR="00CB6C33" w:rsidRPr="00CB6C33" w:rsidRDefault="00CB6C33" w:rsidP="000527ED">
            <w:pPr>
              <w:pStyle w:val="af"/>
              <w:numPr>
                <w:ilvl w:val="0"/>
                <w:numId w:val="4"/>
              </w:numPr>
              <w:snapToGrid w:val="0"/>
              <w:ind w:leftChars="0" w:right="281"/>
              <w:contextualSpacing/>
              <w:jc w:val="both"/>
              <w:rPr>
                <w:rFonts w:ascii="Times New Roman" w:eastAsia="SimSun" w:hAnsi="Times New Roman"/>
                <w:sz w:val="20"/>
                <w:szCs w:val="20"/>
              </w:rPr>
            </w:pPr>
            <w:r w:rsidRPr="00CB6C33">
              <w:rPr>
                <w:rFonts w:ascii="Times New Roman" w:eastAsia="SimSun" w:hAnsi="Times New Roman"/>
                <w:sz w:val="20"/>
                <w:szCs w:val="20"/>
              </w:rPr>
              <w:t>Evaluate the over</w:t>
            </w:r>
            <w:r w:rsidR="000527ED">
              <w:rPr>
                <w:rFonts w:ascii="Times New Roman" w:eastAsia="SimSun" w:hAnsi="Times New Roman"/>
                <w:sz w:val="20"/>
                <w:szCs w:val="20"/>
              </w:rPr>
              <w:t>all presentation, structure and</w:t>
            </w:r>
            <w:r w:rsidR="000527ED" w:rsidRPr="00302705">
              <w:rPr>
                <w:rFonts w:ascii="新細明體" w:hAnsi="新細明體" w:hint="eastAsia"/>
                <w:sz w:val="20"/>
                <w:szCs w:val="20"/>
              </w:rPr>
              <w:t xml:space="preserve"> </w:t>
            </w:r>
            <w:r w:rsidRPr="00CB6C33">
              <w:rPr>
                <w:rFonts w:ascii="Times New Roman" w:eastAsia="SimSun" w:hAnsi="Times New Roman"/>
                <w:sz w:val="20"/>
                <w:szCs w:val="20"/>
              </w:rPr>
              <w:t>content of the consolidated financial statements, including the disclosures, and whether the consolidated financial statements represent the underlying transactions and events in a manner that achieves fair presentation.</w:t>
            </w: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p>
          <w:p w:rsidR="00CB6C33" w:rsidRPr="00CB6C33" w:rsidRDefault="00CB6C33" w:rsidP="000527ED">
            <w:pPr>
              <w:pStyle w:val="af"/>
              <w:numPr>
                <w:ilvl w:val="0"/>
                <w:numId w:val="4"/>
              </w:numPr>
              <w:snapToGrid w:val="0"/>
              <w:ind w:leftChars="0" w:right="281"/>
              <w:contextualSpacing/>
              <w:jc w:val="both"/>
              <w:rPr>
                <w:rFonts w:ascii="Times New Roman" w:eastAsia="SimSun" w:hAnsi="Times New Roman"/>
                <w:sz w:val="20"/>
                <w:szCs w:val="20"/>
              </w:rPr>
            </w:pPr>
            <w:r w:rsidRPr="00CB6C33">
              <w:rPr>
                <w:rFonts w:ascii="Times New Roman" w:eastAsia="SimSun" w:hAnsi="Times New Roman"/>
                <w:sz w:val="20"/>
                <w:szCs w:val="20"/>
              </w:rPr>
              <w:t>Obtain sufficient appropriate audit evidence regarding the financial information of the entities or business activities within the Group to express an opinion on the consolidated financial statements.  We are responsible for the direction, supervision and performance of the group audit.  We remain solely responsible for our audit opinion.</w:t>
            </w:r>
          </w:p>
          <w:p w:rsidR="00CB6C33" w:rsidRPr="00CB6C33" w:rsidRDefault="00CB6C33" w:rsidP="00CB6C33">
            <w:pPr>
              <w:ind w:left="360" w:right="281"/>
              <w:jc w:val="both"/>
              <w:rPr>
                <w:sz w:val="20"/>
              </w:rPr>
            </w:pPr>
          </w:p>
          <w:p w:rsidR="00CB6C33" w:rsidRPr="00CB6C33" w:rsidRDefault="00CB6C33" w:rsidP="00CB6C33">
            <w:pPr>
              <w:snapToGrid w:val="0"/>
              <w:ind w:left="360" w:right="281"/>
              <w:jc w:val="both"/>
              <w:rPr>
                <w:sz w:val="20"/>
              </w:rPr>
            </w:pPr>
            <w:r w:rsidRPr="00CB6C33">
              <w:rPr>
                <w:sz w:val="20"/>
              </w:rPr>
              <w:t>We communicate with the governors of the Centre regarding, among other matters, the planned scope and timing of the audit and significant audit findings, including any significant deficiencies in internal control that we identify during our audit.</w:t>
            </w:r>
          </w:p>
          <w:p w:rsidR="00CB6C33" w:rsidRPr="00CB6C33" w:rsidRDefault="00CB6C33" w:rsidP="00CB6C33">
            <w:pPr>
              <w:ind w:left="360" w:right="281"/>
              <w:jc w:val="both"/>
              <w:rPr>
                <w:sz w:val="20"/>
              </w:rPr>
            </w:pPr>
          </w:p>
          <w:p w:rsidR="00CB6C33" w:rsidRPr="00CB6C33" w:rsidRDefault="00CB6C33" w:rsidP="00CB6C33">
            <w:pPr>
              <w:ind w:left="360" w:right="281"/>
              <w:jc w:val="both"/>
              <w:rPr>
                <w:sz w:val="20"/>
                <w:lang w:val="en-GB"/>
              </w:rPr>
            </w:pPr>
          </w:p>
          <w:p w:rsidR="00CB6C33" w:rsidRPr="00CB6C33" w:rsidRDefault="00CB6C33" w:rsidP="00CB6C33">
            <w:pPr>
              <w:ind w:left="360" w:right="281"/>
              <w:jc w:val="both"/>
              <w:rPr>
                <w:b/>
                <w:sz w:val="20"/>
                <w:lang w:val="en-GB"/>
              </w:rPr>
            </w:pPr>
            <w:r w:rsidRPr="00CB6C33">
              <w:rPr>
                <w:b/>
                <w:sz w:val="20"/>
                <w:lang w:val="en-GB"/>
              </w:rPr>
              <w:t>Deloitte Touche Tohmatsu</w:t>
            </w:r>
          </w:p>
          <w:p w:rsidR="00CB6C33" w:rsidRPr="00CB6C33" w:rsidRDefault="00CB6C33" w:rsidP="00CB6C33">
            <w:pPr>
              <w:ind w:left="360" w:right="281"/>
              <w:jc w:val="both"/>
              <w:rPr>
                <w:sz w:val="20"/>
                <w:lang w:val="en-GB"/>
              </w:rPr>
            </w:pPr>
            <w:r w:rsidRPr="00CB6C33">
              <w:rPr>
                <w:sz w:val="20"/>
                <w:lang w:val="en-GB"/>
              </w:rPr>
              <w:t>Certified Public Accountants</w:t>
            </w:r>
          </w:p>
          <w:p w:rsidR="00CB6C33" w:rsidRPr="00CB6C33" w:rsidRDefault="00CB6C33" w:rsidP="00CB6C33">
            <w:pPr>
              <w:ind w:left="360" w:right="281"/>
              <w:jc w:val="both"/>
              <w:rPr>
                <w:sz w:val="20"/>
                <w:lang w:val="en-GB"/>
              </w:rPr>
            </w:pPr>
            <w:r w:rsidRPr="00CB6C33">
              <w:rPr>
                <w:sz w:val="20"/>
                <w:lang w:val="en-GB"/>
              </w:rPr>
              <w:t>Hong Kong</w:t>
            </w:r>
          </w:p>
          <w:p w:rsidR="00CB6C33" w:rsidRPr="00CB6C33" w:rsidRDefault="00CB6C33" w:rsidP="00CB6C33">
            <w:pPr>
              <w:pStyle w:val="af"/>
              <w:snapToGrid w:val="0"/>
              <w:ind w:leftChars="0" w:left="1080" w:right="281" w:hanging="720"/>
              <w:contextualSpacing/>
              <w:jc w:val="both"/>
              <w:rPr>
                <w:rFonts w:ascii="Times New Roman" w:eastAsia="SimSun" w:hAnsi="Times New Roman"/>
                <w:sz w:val="20"/>
                <w:szCs w:val="20"/>
              </w:rPr>
            </w:pPr>
          </w:p>
          <w:p w:rsidR="00CB6C33" w:rsidRPr="005865AF" w:rsidRDefault="00CB6C33" w:rsidP="00CB6C33">
            <w:pPr>
              <w:ind w:left="360" w:right="281"/>
            </w:pPr>
            <w:r w:rsidRPr="005865AF">
              <w:br w:type="page"/>
            </w:r>
          </w:p>
          <w:p w:rsidR="00223757" w:rsidRPr="00C7782A" w:rsidRDefault="00CB6C33" w:rsidP="001B1BE2">
            <w:pPr>
              <w:tabs>
                <w:tab w:val="left" w:pos="5029"/>
              </w:tabs>
              <w:spacing w:line="240" w:lineRule="auto"/>
              <w:ind w:right="281"/>
              <w:jc w:val="both"/>
              <w:rPr>
                <w:sz w:val="20"/>
                <w:highlight w:val="yellow"/>
              </w:rPr>
            </w:pPr>
            <w:r w:rsidRPr="005865AF">
              <w:br w:type="page"/>
            </w:r>
          </w:p>
        </w:tc>
      </w:tr>
      <w:tr w:rsidR="00223757" w:rsidTr="00C7782A">
        <w:tc>
          <w:tcPr>
            <w:tcW w:w="5103" w:type="dxa"/>
          </w:tcPr>
          <w:p w:rsidR="00223757" w:rsidRPr="00A726D5" w:rsidRDefault="00223757" w:rsidP="00C7782A">
            <w:pPr>
              <w:spacing w:line="240" w:lineRule="auto"/>
              <w:rPr>
                <w:highlight w:val="yellow"/>
              </w:rPr>
            </w:pPr>
          </w:p>
        </w:tc>
        <w:tc>
          <w:tcPr>
            <w:tcW w:w="284" w:type="dxa"/>
          </w:tcPr>
          <w:p w:rsidR="00223757" w:rsidRPr="00C7782A" w:rsidRDefault="00223757" w:rsidP="00C7782A">
            <w:pPr>
              <w:spacing w:line="240" w:lineRule="auto"/>
              <w:rPr>
                <w:highlight w:val="yellow"/>
              </w:rPr>
            </w:pPr>
          </w:p>
        </w:tc>
        <w:tc>
          <w:tcPr>
            <w:tcW w:w="5245" w:type="dxa"/>
          </w:tcPr>
          <w:p w:rsidR="00E6750F" w:rsidRPr="00C7782A" w:rsidRDefault="00E6750F" w:rsidP="00532396">
            <w:pPr>
              <w:spacing w:line="240" w:lineRule="auto"/>
              <w:ind w:left="34" w:right="34"/>
              <w:jc w:val="both"/>
              <w:rPr>
                <w:sz w:val="20"/>
                <w:highlight w:val="yellow"/>
              </w:rPr>
            </w:pPr>
          </w:p>
        </w:tc>
      </w:tr>
      <w:tr w:rsidR="00223757" w:rsidTr="00C7782A">
        <w:tc>
          <w:tcPr>
            <w:tcW w:w="5103" w:type="dxa"/>
          </w:tcPr>
          <w:p w:rsidR="00223757" w:rsidRPr="00C64096" w:rsidRDefault="00223757" w:rsidP="00C7782A">
            <w:pPr>
              <w:spacing w:line="240" w:lineRule="auto"/>
              <w:rPr>
                <w:rFonts w:ascii="新細明體" w:eastAsia="新細明體" w:hAnsi="新細明體"/>
                <w:sz w:val="20"/>
                <w:highlight w:val="yellow"/>
              </w:rPr>
            </w:pPr>
          </w:p>
        </w:tc>
        <w:tc>
          <w:tcPr>
            <w:tcW w:w="284" w:type="dxa"/>
          </w:tcPr>
          <w:p w:rsidR="00223757" w:rsidRPr="00C7782A" w:rsidRDefault="00223757" w:rsidP="00C7782A">
            <w:pPr>
              <w:spacing w:line="240" w:lineRule="auto"/>
              <w:rPr>
                <w:highlight w:val="yellow"/>
              </w:rPr>
            </w:pPr>
          </w:p>
        </w:tc>
        <w:tc>
          <w:tcPr>
            <w:tcW w:w="5245" w:type="dxa"/>
          </w:tcPr>
          <w:p w:rsidR="00223757" w:rsidRPr="00C7782A" w:rsidRDefault="00223757" w:rsidP="00C7782A">
            <w:pPr>
              <w:spacing w:line="240" w:lineRule="auto"/>
              <w:rPr>
                <w:sz w:val="20"/>
                <w:highlight w:val="yellow"/>
              </w:rPr>
            </w:pPr>
          </w:p>
        </w:tc>
      </w:tr>
      <w:tr w:rsidR="00223757" w:rsidTr="00C7782A">
        <w:tc>
          <w:tcPr>
            <w:tcW w:w="5103" w:type="dxa"/>
          </w:tcPr>
          <w:p w:rsidR="00223757" w:rsidRPr="00C64096" w:rsidRDefault="00223757" w:rsidP="00C7782A">
            <w:pPr>
              <w:spacing w:line="240" w:lineRule="auto"/>
              <w:rPr>
                <w:rFonts w:ascii="新細明體" w:eastAsia="新細明體" w:hAnsi="新細明體"/>
                <w:sz w:val="20"/>
                <w:highlight w:val="yellow"/>
              </w:rPr>
            </w:pPr>
          </w:p>
        </w:tc>
        <w:tc>
          <w:tcPr>
            <w:tcW w:w="284" w:type="dxa"/>
          </w:tcPr>
          <w:p w:rsidR="00223757" w:rsidRPr="00C7782A" w:rsidRDefault="00223757" w:rsidP="00223757">
            <w:pPr>
              <w:rPr>
                <w:highlight w:val="yellow"/>
              </w:rPr>
            </w:pPr>
          </w:p>
        </w:tc>
        <w:tc>
          <w:tcPr>
            <w:tcW w:w="5245" w:type="dxa"/>
          </w:tcPr>
          <w:p w:rsidR="00223757" w:rsidRPr="00C7782A" w:rsidRDefault="00223757" w:rsidP="00223757">
            <w:pPr>
              <w:rPr>
                <w:sz w:val="20"/>
                <w:highlight w:val="yellow"/>
              </w:rPr>
            </w:pPr>
          </w:p>
        </w:tc>
      </w:tr>
    </w:tbl>
    <w:p w:rsidR="005C00CC" w:rsidRDefault="005C00CC" w:rsidP="00EF36B9"/>
    <w:sectPr w:rsidR="005C00CC" w:rsidSect="005C00CC">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705" w:rsidRDefault="00302705" w:rsidP="00A62924">
      <w:pPr>
        <w:spacing w:line="240" w:lineRule="auto"/>
      </w:pPr>
      <w:r>
        <w:separator/>
      </w:r>
    </w:p>
  </w:endnote>
  <w:endnote w:type="continuationSeparator" w:id="0">
    <w:p w:rsidR="00302705" w:rsidRDefault="00302705" w:rsidP="00A629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Xihei">
    <w:altName w:val="Arial Unicode MS"/>
    <w:charset w:val="86"/>
    <w:family w:val="auto"/>
    <w:pitch w:val="variable"/>
    <w:sig w:usb0="00000000"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全真楷書">
    <w:panose1 w:val="02010609000101010101"/>
    <w:charset w:val="88"/>
    <w:family w:val="modern"/>
    <w:pitch w:val="fixed"/>
    <w:sig w:usb0="00000001" w:usb1="08080000" w:usb2="00000010" w:usb3="00000000" w:csb0="00100000" w:csb1="00000000"/>
  </w:font>
  <w:font w:name="Droid Sans Fallback">
    <w:altName w:val="Arial Unicode MS"/>
    <w:panose1 w:val="00000000000000000000"/>
    <w:charset w:val="88"/>
    <w:family w:val="swiss"/>
    <w:notTrueType/>
    <w:pitch w:val="default"/>
    <w:sig w:usb0="00000001" w:usb1="08080000" w:usb2="00000010" w:usb3="00000000" w:csb0="00100000" w:csb1="00000000"/>
  </w:font>
  <w:font w:name="Consolas">
    <w:panose1 w:val="020B0609020204030204"/>
    <w:charset w:val="00"/>
    <w:family w:val="modern"/>
    <w:pitch w:val="fixed"/>
    <w:sig w:usb0="E10002FF" w:usb1="4000F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HeiHK-Medium-Identity-H">
    <w:altName w:val="新細明體"/>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705" w:rsidRDefault="00302705" w:rsidP="00A62924">
      <w:pPr>
        <w:spacing w:line="240" w:lineRule="auto"/>
      </w:pPr>
      <w:r>
        <w:separator/>
      </w:r>
    </w:p>
  </w:footnote>
  <w:footnote w:type="continuationSeparator" w:id="0">
    <w:p w:rsidR="00302705" w:rsidRDefault="00302705" w:rsidP="00A629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1C6D"/>
    <w:multiLevelType w:val="hybridMultilevel"/>
    <w:tmpl w:val="D12E8B72"/>
    <w:lvl w:ilvl="0" w:tplc="F900FBA0">
      <w:numFmt w:val="bullet"/>
      <w:lvlText w:val=""/>
      <w:lvlJc w:val="left"/>
      <w:pPr>
        <w:ind w:left="556" w:hanging="555"/>
      </w:pPr>
      <w:rPr>
        <w:rFonts w:ascii="STXihei" w:eastAsia="STXihei" w:hAnsi="STXihei" w:cs="Symbol" w:hint="eastAsia"/>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 w15:restartNumberingAfterBreak="0">
    <w:nsid w:val="059E3EEB"/>
    <w:multiLevelType w:val="hybridMultilevel"/>
    <w:tmpl w:val="F2AE9D8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D4922CB"/>
    <w:multiLevelType w:val="hybridMultilevel"/>
    <w:tmpl w:val="11F65046"/>
    <w:lvl w:ilvl="0" w:tplc="068C6660">
      <w:numFmt w:val="bullet"/>
      <w:lvlText w:val=""/>
      <w:lvlJc w:val="left"/>
      <w:pPr>
        <w:ind w:left="720" w:hanging="720"/>
      </w:pPr>
      <w:rPr>
        <w:rFonts w:ascii="Symbol" w:eastAsia="SimSun" w:hAnsi="Symbol" w:cs="Times New Roman" w:hint="default"/>
      </w:rPr>
    </w:lvl>
    <w:lvl w:ilvl="1" w:tplc="04090003" w:tentative="1">
      <w:start w:val="1"/>
      <w:numFmt w:val="bullet"/>
      <w:lvlText w:val=""/>
      <w:lvlJc w:val="left"/>
      <w:pPr>
        <w:ind w:left="600" w:hanging="480"/>
      </w:pPr>
      <w:rPr>
        <w:rFonts w:ascii="Wingdings" w:hAnsi="Wingdings" w:hint="default"/>
      </w:rPr>
    </w:lvl>
    <w:lvl w:ilvl="2" w:tplc="04090005" w:tentative="1">
      <w:start w:val="1"/>
      <w:numFmt w:val="bullet"/>
      <w:lvlText w:val=""/>
      <w:lvlJc w:val="left"/>
      <w:pPr>
        <w:ind w:left="1080" w:hanging="480"/>
      </w:pPr>
      <w:rPr>
        <w:rFonts w:ascii="Wingdings" w:hAnsi="Wingdings" w:hint="default"/>
      </w:rPr>
    </w:lvl>
    <w:lvl w:ilvl="3" w:tplc="04090001" w:tentative="1">
      <w:start w:val="1"/>
      <w:numFmt w:val="bullet"/>
      <w:lvlText w:val=""/>
      <w:lvlJc w:val="left"/>
      <w:pPr>
        <w:ind w:left="1560" w:hanging="480"/>
      </w:pPr>
      <w:rPr>
        <w:rFonts w:ascii="Wingdings" w:hAnsi="Wingdings" w:hint="default"/>
      </w:rPr>
    </w:lvl>
    <w:lvl w:ilvl="4" w:tplc="04090003" w:tentative="1">
      <w:start w:val="1"/>
      <w:numFmt w:val="bullet"/>
      <w:lvlText w:val=""/>
      <w:lvlJc w:val="left"/>
      <w:pPr>
        <w:ind w:left="2040" w:hanging="480"/>
      </w:pPr>
      <w:rPr>
        <w:rFonts w:ascii="Wingdings" w:hAnsi="Wingdings" w:hint="default"/>
      </w:rPr>
    </w:lvl>
    <w:lvl w:ilvl="5" w:tplc="04090005" w:tentative="1">
      <w:start w:val="1"/>
      <w:numFmt w:val="bullet"/>
      <w:lvlText w:val=""/>
      <w:lvlJc w:val="left"/>
      <w:pPr>
        <w:ind w:left="2520" w:hanging="480"/>
      </w:pPr>
      <w:rPr>
        <w:rFonts w:ascii="Wingdings" w:hAnsi="Wingdings" w:hint="default"/>
      </w:rPr>
    </w:lvl>
    <w:lvl w:ilvl="6" w:tplc="04090001" w:tentative="1">
      <w:start w:val="1"/>
      <w:numFmt w:val="bullet"/>
      <w:lvlText w:val=""/>
      <w:lvlJc w:val="left"/>
      <w:pPr>
        <w:ind w:left="3000" w:hanging="480"/>
      </w:pPr>
      <w:rPr>
        <w:rFonts w:ascii="Wingdings" w:hAnsi="Wingdings" w:hint="default"/>
      </w:rPr>
    </w:lvl>
    <w:lvl w:ilvl="7" w:tplc="04090003" w:tentative="1">
      <w:start w:val="1"/>
      <w:numFmt w:val="bullet"/>
      <w:lvlText w:val=""/>
      <w:lvlJc w:val="left"/>
      <w:pPr>
        <w:ind w:left="3480" w:hanging="480"/>
      </w:pPr>
      <w:rPr>
        <w:rFonts w:ascii="Wingdings" w:hAnsi="Wingdings" w:hint="default"/>
      </w:rPr>
    </w:lvl>
    <w:lvl w:ilvl="8" w:tplc="04090005" w:tentative="1">
      <w:start w:val="1"/>
      <w:numFmt w:val="bullet"/>
      <w:lvlText w:val=""/>
      <w:lvlJc w:val="left"/>
      <w:pPr>
        <w:ind w:left="3960" w:hanging="480"/>
      </w:pPr>
      <w:rPr>
        <w:rFonts w:ascii="Wingdings" w:hAnsi="Wingdings" w:hint="default"/>
      </w:rPr>
    </w:lvl>
  </w:abstractNum>
  <w:abstractNum w:abstractNumId="3" w15:restartNumberingAfterBreak="0">
    <w:nsid w:val="2B5F14C0"/>
    <w:multiLevelType w:val="hybridMultilevel"/>
    <w:tmpl w:val="BEDA5BB2"/>
    <w:lvl w:ilvl="0" w:tplc="068C6660">
      <w:numFmt w:val="bullet"/>
      <w:lvlText w:val=""/>
      <w:lvlJc w:val="left"/>
      <w:pPr>
        <w:ind w:left="720" w:hanging="720"/>
      </w:pPr>
      <w:rPr>
        <w:rFonts w:ascii="Symbol" w:eastAsia="SimSun"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1757EE"/>
    <w:multiLevelType w:val="hybridMultilevel"/>
    <w:tmpl w:val="FE9403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8747939"/>
    <w:multiLevelType w:val="hybridMultilevel"/>
    <w:tmpl w:val="0F58F234"/>
    <w:lvl w:ilvl="0" w:tplc="04090001">
      <w:start w:val="1"/>
      <w:numFmt w:val="bullet"/>
      <w:lvlText w:val=""/>
      <w:lvlJc w:val="left"/>
      <w:pPr>
        <w:ind w:left="555" w:hanging="555"/>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B1541FA"/>
    <w:multiLevelType w:val="hybridMultilevel"/>
    <w:tmpl w:val="D10A0E96"/>
    <w:lvl w:ilvl="0" w:tplc="068C6660">
      <w:numFmt w:val="bullet"/>
      <w:lvlText w:val=""/>
      <w:lvlJc w:val="left"/>
      <w:pPr>
        <w:ind w:left="1080" w:hanging="720"/>
      </w:pPr>
      <w:rPr>
        <w:rFonts w:ascii="Symbol" w:eastAsia="SimSun" w:hAnsi="Symbol"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757"/>
    <w:rsid w:val="000019B5"/>
    <w:rsid w:val="00004DAC"/>
    <w:rsid w:val="000063D5"/>
    <w:rsid w:val="0001682B"/>
    <w:rsid w:val="00025556"/>
    <w:rsid w:val="000420FE"/>
    <w:rsid w:val="00050EC4"/>
    <w:rsid w:val="000527ED"/>
    <w:rsid w:val="00080604"/>
    <w:rsid w:val="00081F76"/>
    <w:rsid w:val="00095B1F"/>
    <w:rsid w:val="000973F1"/>
    <w:rsid w:val="000A052C"/>
    <w:rsid w:val="000A37EA"/>
    <w:rsid w:val="000B2079"/>
    <w:rsid w:val="000B4DFF"/>
    <w:rsid w:val="000C54F8"/>
    <w:rsid w:val="000D64D5"/>
    <w:rsid w:val="00104212"/>
    <w:rsid w:val="00121ECC"/>
    <w:rsid w:val="00132B9C"/>
    <w:rsid w:val="001532F7"/>
    <w:rsid w:val="00162A59"/>
    <w:rsid w:val="00173B37"/>
    <w:rsid w:val="00175664"/>
    <w:rsid w:val="001B1BE2"/>
    <w:rsid w:val="001E06BB"/>
    <w:rsid w:val="001F3241"/>
    <w:rsid w:val="0020407C"/>
    <w:rsid w:val="0021278D"/>
    <w:rsid w:val="00216BB0"/>
    <w:rsid w:val="00223757"/>
    <w:rsid w:val="00225AE4"/>
    <w:rsid w:val="00236A4E"/>
    <w:rsid w:val="0025245B"/>
    <w:rsid w:val="002700F5"/>
    <w:rsid w:val="00280E0B"/>
    <w:rsid w:val="00282550"/>
    <w:rsid w:val="0028261D"/>
    <w:rsid w:val="00297A5B"/>
    <w:rsid w:val="00297AFC"/>
    <w:rsid w:val="002A59D2"/>
    <w:rsid w:val="002B39CF"/>
    <w:rsid w:val="002C3075"/>
    <w:rsid w:val="002D0190"/>
    <w:rsid w:val="002E5FA0"/>
    <w:rsid w:val="00302705"/>
    <w:rsid w:val="00320A53"/>
    <w:rsid w:val="003529EB"/>
    <w:rsid w:val="00357D39"/>
    <w:rsid w:val="0036610F"/>
    <w:rsid w:val="003C5D10"/>
    <w:rsid w:val="003D34F9"/>
    <w:rsid w:val="003D45DC"/>
    <w:rsid w:val="003D5FE8"/>
    <w:rsid w:val="00403F76"/>
    <w:rsid w:val="00405130"/>
    <w:rsid w:val="004051A4"/>
    <w:rsid w:val="004064AC"/>
    <w:rsid w:val="00420D48"/>
    <w:rsid w:val="00424236"/>
    <w:rsid w:val="00432173"/>
    <w:rsid w:val="004459AC"/>
    <w:rsid w:val="00471C9C"/>
    <w:rsid w:val="004A12B8"/>
    <w:rsid w:val="004A72AE"/>
    <w:rsid w:val="004A7E3F"/>
    <w:rsid w:val="00532396"/>
    <w:rsid w:val="0053766C"/>
    <w:rsid w:val="00563A7B"/>
    <w:rsid w:val="005717BE"/>
    <w:rsid w:val="0058402D"/>
    <w:rsid w:val="00591074"/>
    <w:rsid w:val="00594158"/>
    <w:rsid w:val="005A00EC"/>
    <w:rsid w:val="005B4DEA"/>
    <w:rsid w:val="005C00CC"/>
    <w:rsid w:val="005D06F7"/>
    <w:rsid w:val="005D3EE2"/>
    <w:rsid w:val="005F4400"/>
    <w:rsid w:val="00600692"/>
    <w:rsid w:val="00605997"/>
    <w:rsid w:val="00634FE7"/>
    <w:rsid w:val="00651BDA"/>
    <w:rsid w:val="00676548"/>
    <w:rsid w:val="006766AE"/>
    <w:rsid w:val="006C06FD"/>
    <w:rsid w:val="006C32B4"/>
    <w:rsid w:val="006E0C05"/>
    <w:rsid w:val="007156E5"/>
    <w:rsid w:val="00727294"/>
    <w:rsid w:val="00727CF9"/>
    <w:rsid w:val="007367DC"/>
    <w:rsid w:val="00754C1B"/>
    <w:rsid w:val="007966F1"/>
    <w:rsid w:val="007A645E"/>
    <w:rsid w:val="007B613A"/>
    <w:rsid w:val="007C1429"/>
    <w:rsid w:val="007D7A3B"/>
    <w:rsid w:val="007E7D1B"/>
    <w:rsid w:val="0080173B"/>
    <w:rsid w:val="00812F28"/>
    <w:rsid w:val="008308B7"/>
    <w:rsid w:val="0084503A"/>
    <w:rsid w:val="008528DC"/>
    <w:rsid w:val="0085690D"/>
    <w:rsid w:val="0086400D"/>
    <w:rsid w:val="00866B40"/>
    <w:rsid w:val="008952D6"/>
    <w:rsid w:val="0089536E"/>
    <w:rsid w:val="008C2429"/>
    <w:rsid w:val="008E1612"/>
    <w:rsid w:val="008E6980"/>
    <w:rsid w:val="008E77D2"/>
    <w:rsid w:val="009174B5"/>
    <w:rsid w:val="0092208C"/>
    <w:rsid w:val="0092297F"/>
    <w:rsid w:val="00936B74"/>
    <w:rsid w:val="00964EB1"/>
    <w:rsid w:val="00970702"/>
    <w:rsid w:val="00972E1D"/>
    <w:rsid w:val="00976E80"/>
    <w:rsid w:val="009A4065"/>
    <w:rsid w:val="009C17B8"/>
    <w:rsid w:val="009D4B97"/>
    <w:rsid w:val="009F0CFA"/>
    <w:rsid w:val="009F7E01"/>
    <w:rsid w:val="00A04381"/>
    <w:rsid w:val="00A30884"/>
    <w:rsid w:val="00A479E9"/>
    <w:rsid w:val="00A62924"/>
    <w:rsid w:val="00A638D1"/>
    <w:rsid w:val="00A726D5"/>
    <w:rsid w:val="00AA00DB"/>
    <w:rsid w:val="00AA21D1"/>
    <w:rsid w:val="00AA5129"/>
    <w:rsid w:val="00AA5D6F"/>
    <w:rsid w:val="00AA6CAF"/>
    <w:rsid w:val="00AC3238"/>
    <w:rsid w:val="00AF2FF5"/>
    <w:rsid w:val="00AF4AE3"/>
    <w:rsid w:val="00B0009B"/>
    <w:rsid w:val="00B15871"/>
    <w:rsid w:val="00B171E6"/>
    <w:rsid w:val="00B2275F"/>
    <w:rsid w:val="00B44402"/>
    <w:rsid w:val="00B67F36"/>
    <w:rsid w:val="00B81A9B"/>
    <w:rsid w:val="00B84060"/>
    <w:rsid w:val="00C12604"/>
    <w:rsid w:val="00C30721"/>
    <w:rsid w:val="00C325FB"/>
    <w:rsid w:val="00C358D5"/>
    <w:rsid w:val="00C64096"/>
    <w:rsid w:val="00C7782A"/>
    <w:rsid w:val="00C916DA"/>
    <w:rsid w:val="00C929EB"/>
    <w:rsid w:val="00C92C50"/>
    <w:rsid w:val="00C94E95"/>
    <w:rsid w:val="00CB6C33"/>
    <w:rsid w:val="00CD234B"/>
    <w:rsid w:val="00CE026D"/>
    <w:rsid w:val="00CE67FE"/>
    <w:rsid w:val="00D54D57"/>
    <w:rsid w:val="00D933A2"/>
    <w:rsid w:val="00DA1769"/>
    <w:rsid w:val="00DB0389"/>
    <w:rsid w:val="00DB6A9B"/>
    <w:rsid w:val="00DC29AC"/>
    <w:rsid w:val="00DC3B64"/>
    <w:rsid w:val="00DE4422"/>
    <w:rsid w:val="00E02377"/>
    <w:rsid w:val="00E347C3"/>
    <w:rsid w:val="00E449C3"/>
    <w:rsid w:val="00E6750F"/>
    <w:rsid w:val="00E80491"/>
    <w:rsid w:val="00E93434"/>
    <w:rsid w:val="00E95D47"/>
    <w:rsid w:val="00EC3F2B"/>
    <w:rsid w:val="00EF36B9"/>
    <w:rsid w:val="00F0780A"/>
    <w:rsid w:val="00F10EAA"/>
    <w:rsid w:val="00F323B7"/>
    <w:rsid w:val="00F5076E"/>
    <w:rsid w:val="00F56705"/>
    <w:rsid w:val="00F573BE"/>
    <w:rsid w:val="00F86B46"/>
    <w:rsid w:val="00F93C83"/>
    <w:rsid w:val="00FA2C8F"/>
    <w:rsid w:val="00FA3942"/>
    <w:rsid w:val="00FA5704"/>
    <w:rsid w:val="00FD28FE"/>
    <w:rsid w:val="00FD489F"/>
    <w:rsid w:val="00FD5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C64D5663-1C61-462B-B936-4726F982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D1"/>
    <w:pPr>
      <w:widowControl w:val="0"/>
      <w:adjustRightInd w:val="0"/>
      <w:spacing w:line="360" w:lineRule="atLeast"/>
      <w:textAlignment w:val="baseline"/>
    </w:pPr>
    <w:rPr>
      <w:sz w:val="24"/>
    </w:rPr>
  </w:style>
  <w:style w:type="paragraph" w:styleId="1">
    <w:name w:val="heading 1"/>
    <w:basedOn w:val="a"/>
    <w:next w:val="a"/>
    <w:link w:val="10"/>
    <w:qFormat/>
    <w:rsid w:val="00A638D1"/>
    <w:pPr>
      <w:keepNext/>
      <w:spacing w:line="240" w:lineRule="auto"/>
      <w:outlineLvl w:val="0"/>
    </w:pPr>
    <w:rPr>
      <w:rFonts w:ascii="Arial" w:hAnsi="Arial"/>
      <w:sz w:val="56"/>
      <w:lang w:val="x-none" w:eastAsia="x-none"/>
    </w:rPr>
  </w:style>
  <w:style w:type="paragraph" w:styleId="2">
    <w:name w:val="heading 2"/>
    <w:basedOn w:val="a"/>
    <w:next w:val="a0"/>
    <w:link w:val="20"/>
    <w:qFormat/>
    <w:rsid w:val="00A638D1"/>
    <w:pPr>
      <w:keepNext/>
      <w:spacing w:line="240" w:lineRule="auto"/>
      <w:outlineLvl w:val="1"/>
    </w:pPr>
    <w:rPr>
      <w:rFonts w:ascii="Arial" w:hAnsi="Arial"/>
      <w:b/>
      <w:sz w:val="18"/>
      <w:lang w:val="x-none" w:eastAsia="x-none"/>
    </w:rPr>
  </w:style>
  <w:style w:type="paragraph" w:styleId="3">
    <w:name w:val="heading 3"/>
    <w:basedOn w:val="a"/>
    <w:next w:val="a0"/>
    <w:link w:val="30"/>
    <w:qFormat/>
    <w:rsid w:val="00A638D1"/>
    <w:pPr>
      <w:keepNext/>
      <w:spacing w:line="0" w:lineRule="atLeast"/>
      <w:jc w:val="center"/>
      <w:outlineLvl w:val="2"/>
    </w:pPr>
    <w:rPr>
      <w:rFonts w:ascii="Arial" w:hAnsi="Arial"/>
      <w:b/>
      <w:lang w:val="x-none" w:eastAsia="x-none"/>
    </w:rPr>
  </w:style>
  <w:style w:type="paragraph" w:styleId="4">
    <w:name w:val="heading 4"/>
    <w:basedOn w:val="a"/>
    <w:next w:val="a0"/>
    <w:link w:val="40"/>
    <w:qFormat/>
    <w:rsid w:val="00A638D1"/>
    <w:pPr>
      <w:keepNext/>
      <w:spacing w:line="240" w:lineRule="auto"/>
      <w:ind w:firstLine="1532"/>
      <w:outlineLvl w:val="3"/>
    </w:pPr>
    <w:rPr>
      <w:rFonts w:ascii="Arial" w:hAnsi="Arial"/>
      <w:b/>
      <w:sz w:val="28"/>
      <w:lang w:val="x-none" w:eastAsia="x-none"/>
    </w:rPr>
  </w:style>
  <w:style w:type="paragraph" w:styleId="5">
    <w:name w:val="heading 5"/>
    <w:basedOn w:val="a"/>
    <w:next w:val="a0"/>
    <w:link w:val="50"/>
    <w:qFormat/>
    <w:rsid w:val="00A638D1"/>
    <w:pPr>
      <w:keepNext/>
      <w:spacing w:line="0" w:lineRule="atLeast"/>
      <w:jc w:val="center"/>
      <w:outlineLvl w:val="4"/>
    </w:pPr>
    <w:rPr>
      <w:rFonts w:ascii="Arial" w:hAnsi="Arial"/>
      <w:sz w:val="56"/>
      <w:lang w:val="x-none" w:eastAsia="x-none"/>
    </w:rPr>
  </w:style>
  <w:style w:type="paragraph" w:styleId="6">
    <w:name w:val="heading 6"/>
    <w:basedOn w:val="a"/>
    <w:next w:val="a0"/>
    <w:link w:val="60"/>
    <w:qFormat/>
    <w:rsid w:val="00A638D1"/>
    <w:pPr>
      <w:keepNext/>
      <w:spacing w:line="240" w:lineRule="auto"/>
      <w:jc w:val="center"/>
      <w:outlineLvl w:val="5"/>
    </w:pPr>
    <w:rPr>
      <w:rFonts w:ascii="Arial" w:hAnsi="Arial"/>
      <w:b/>
      <w:sz w:val="36"/>
      <w:lang w:val="x-none" w:eastAsia="x-none"/>
    </w:rPr>
  </w:style>
  <w:style w:type="paragraph" w:styleId="7">
    <w:name w:val="heading 7"/>
    <w:basedOn w:val="a"/>
    <w:next w:val="a0"/>
    <w:link w:val="70"/>
    <w:qFormat/>
    <w:rsid w:val="00A638D1"/>
    <w:pPr>
      <w:keepNext/>
      <w:jc w:val="center"/>
      <w:outlineLvl w:val="6"/>
    </w:pPr>
    <w:rPr>
      <w:sz w:val="32"/>
      <w:lang w:val="x-none" w:eastAsia="x-none"/>
    </w:rPr>
  </w:style>
  <w:style w:type="paragraph" w:styleId="8">
    <w:name w:val="heading 8"/>
    <w:basedOn w:val="a"/>
    <w:next w:val="a0"/>
    <w:link w:val="80"/>
    <w:qFormat/>
    <w:rsid w:val="00A638D1"/>
    <w:pPr>
      <w:keepNext/>
      <w:spacing w:line="240" w:lineRule="auto"/>
      <w:ind w:firstLine="1172"/>
      <w:outlineLvl w:val="7"/>
    </w:pPr>
    <w:rPr>
      <w:rFonts w:ascii="Arial" w:hAnsi="Arial"/>
      <w:b/>
      <w:lang w:val="x-none" w:eastAsia="x-none"/>
    </w:rPr>
  </w:style>
  <w:style w:type="paragraph" w:styleId="9">
    <w:name w:val="heading 9"/>
    <w:basedOn w:val="a"/>
    <w:next w:val="a0"/>
    <w:link w:val="90"/>
    <w:qFormat/>
    <w:rsid w:val="00A638D1"/>
    <w:pPr>
      <w:keepNext/>
      <w:tabs>
        <w:tab w:val="left" w:pos="480"/>
      </w:tabs>
      <w:spacing w:after="120" w:line="240" w:lineRule="auto"/>
      <w:jc w:val="center"/>
      <w:outlineLvl w:val="8"/>
    </w:pPr>
    <w:rPr>
      <w:rFonts w:ascii="Arial" w:hAnsi="Arial"/>
      <w:b/>
      <w:sz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rsid w:val="00A638D1"/>
    <w:rPr>
      <w:rFonts w:ascii="Arial" w:hAnsi="Arial"/>
      <w:sz w:val="56"/>
    </w:rPr>
  </w:style>
  <w:style w:type="character" w:customStyle="1" w:styleId="20">
    <w:name w:val="標題 2 字元"/>
    <w:link w:val="2"/>
    <w:rsid w:val="00A638D1"/>
    <w:rPr>
      <w:rFonts w:ascii="Arial" w:hAnsi="Arial"/>
      <w:b/>
      <w:sz w:val="18"/>
    </w:rPr>
  </w:style>
  <w:style w:type="paragraph" w:styleId="a0">
    <w:name w:val="Normal Indent"/>
    <w:basedOn w:val="a"/>
    <w:uiPriority w:val="99"/>
    <w:semiHidden/>
    <w:unhideWhenUsed/>
    <w:rsid w:val="00A638D1"/>
    <w:pPr>
      <w:ind w:left="720"/>
    </w:pPr>
  </w:style>
  <w:style w:type="character" w:customStyle="1" w:styleId="30">
    <w:name w:val="標題 3 字元"/>
    <w:link w:val="3"/>
    <w:rsid w:val="00A638D1"/>
    <w:rPr>
      <w:rFonts w:ascii="Arial" w:hAnsi="Arial"/>
      <w:b/>
      <w:sz w:val="24"/>
    </w:rPr>
  </w:style>
  <w:style w:type="character" w:customStyle="1" w:styleId="40">
    <w:name w:val="標題 4 字元"/>
    <w:link w:val="4"/>
    <w:rsid w:val="00A638D1"/>
    <w:rPr>
      <w:rFonts w:ascii="Arial" w:hAnsi="Arial"/>
      <w:b/>
      <w:sz w:val="28"/>
    </w:rPr>
  </w:style>
  <w:style w:type="character" w:customStyle="1" w:styleId="50">
    <w:name w:val="標題 5 字元"/>
    <w:link w:val="5"/>
    <w:rsid w:val="00A638D1"/>
    <w:rPr>
      <w:rFonts w:ascii="Arial" w:hAnsi="Arial"/>
      <w:sz w:val="56"/>
    </w:rPr>
  </w:style>
  <w:style w:type="character" w:customStyle="1" w:styleId="60">
    <w:name w:val="標題 6 字元"/>
    <w:link w:val="6"/>
    <w:rsid w:val="00A638D1"/>
    <w:rPr>
      <w:rFonts w:ascii="Arial" w:hAnsi="Arial"/>
      <w:b/>
      <w:sz w:val="36"/>
    </w:rPr>
  </w:style>
  <w:style w:type="character" w:customStyle="1" w:styleId="70">
    <w:name w:val="標題 7 字元"/>
    <w:link w:val="7"/>
    <w:rsid w:val="00A638D1"/>
    <w:rPr>
      <w:sz w:val="32"/>
    </w:rPr>
  </w:style>
  <w:style w:type="character" w:customStyle="1" w:styleId="80">
    <w:name w:val="標題 8 字元"/>
    <w:link w:val="8"/>
    <w:rsid w:val="00A638D1"/>
    <w:rPr>
      <w:rFonts w:ascii="Arial" w:hAnsi="Arial"/>
      <w:b/>
      <w:sz w:val="24"/>
    </w:rPr>
  </w:style>
  <w:style w:type="character" w:customStyle="1" w:styleId="90">
    <w:name w:val="標題 9 字元"/>
    <w:link w:val="9"/>
    <w:rsid w:val="00A638D1"/>
    <w:rPr>
      <w:rFonts w:ascii="Arial" w:hAnsi="Arial"/>
      <w:b/>
    </w:rPr>
  </w:style>
  <w:style w:type="paragraph" w:styleId="a4">
    <w:name w:val="caption"/>
    <w:basedOn w:val="a"/>
    <w:next w:val="a"/>
    <w:qFormat/>
    <w:rsid w:val="00A638D1"/>
    <w:pPr>
      <w:spacing w:after="120" w:line="240" w:lineRule="auto"/>
      <w:jc w:val="both"/>
    </w:pPr>
    <w:rPr>
      <w:rFonts w:ascii="Arial" w:eastAsia="全真楷書" w:hAnsi="Arial"/>
      <w:b/>
      <w:sz w:val="20"/>
    </w:rPr>
  </w:style>
  <w:style w:type="table" w:styleId="a5">
    <w:name w:val="Table Grid"/>
    <w:basedOn w:val="a2"/>
    <w:uiPriority w:val="59"/>
    <w:rsid w:val="00223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2">
    <w:name w:val="Pa1+2"/>
    <w:basedOn w:val="a"/>
    <w:next w:val="a"/>
    <w:uiPriority w:val="99"/>
    <w:rsid w:val="00223757"/>
    <w:pPr>
      <w:widowControl/>
      <w:autoSpaceDE w:val="0"/>
      <w:autoSpaceDN w:val="0"/>
      <w:spacing w:line="241" w:lineRule="atLeast"/>
      <w:textAlignment w:val="auto"/>
    </w:pPr>
    <w:rPr>
      <w:rFonts w:ascii="Droid Sans Fallback" w:eastAsia="Droid Sans Fallback"/>
      <w:szCs w:val="24"/>
    </w:rPr>
  </w:style>
  <w:style w:type="character" w:customStyle="1" w:styleId="A211">
    <w:name w:val="A21+1"/>
    <w:uiPriority w:val="99"/>
    <w:rsid w:val="00223757"/>
    <w:rPr>
      <w:rFonts w:cs="Droid Sans Fallback"/>
      <w:color w:val="000000"/>
      <w:sz w:val="20"/>
      <w:szCs w:val="20"/>
    </w:rPr>
  </w:style>
  <w:style w:type="character" w:customStyle="1" w:styleId="A13">
    <w:name w:val="A1+3"/>
    <w:uiPriority w:val="99"/>
    <w:rsid w:val="00223757"/>
    <w:rPr>
      <w:rFonts w:cs="Droid Sans Fallback"/>
      <w:color w:val="000000"/>
      <w:sz w:val="28"/>
      <w:szCs w:val="28"/>
    </w:rPr>
  </w:style>
  <w:style w:type="character" w:customStyle="1" w:styleId="A231">
    <w:name w:val="A23+1"/>
    <w:uiPriority w:val="99"/>
    <w:rsid w:val="00223757"/>
    <w:rPr>
      <w:rFonts w:cs="Droid Sans Fallback"/>
      <w:color w:val="000000"/>
      <w:sz w:val="12"/>
      <w:szCs w:val="12"/>
    </w:rPr>
  </w:style>
  <w:style w:type="character" w:customStyle="1" w:styleId="A72">
    <w:name w:val="A7+2"/>
    <w:uiPriority w:val="99"/>
    <w:rsid w:val="00223757"/>
    <w:rPr>
      <w:rFonts w:cs="Droid Sans Fallback"/>
      <w:color w:val="000000"/>
      <w:sz w:val="16"/>
      <w:szCs w:val="16"/>
    </w:rPr>
  </w:style>
  <w:style w:type="character" w:customStyle="1" w:styleId="headerthin1">
    <w:name w:val="headerthin1"/>
    <w:rsid w:val="00223757"/>
    <w:rPr>
      <w:rFonts w:ascii="Arial" w:hAnsi="Arial" w:cs="Arial" w:hint="default"/>
      <w:color w:val="999999"/>
      <w:sz w:val="28"/>
      <w:szCs w:val="28"/>
    </w:rPr>
  </w:style>
  <w:style w:type="character" w:styleId="a6">
    <w:name w:val="Strong"/>
    <w:uiPriority w:val="22"/>
    <w:qFormat/>
    <w:rsid w:val="00223757"/>
    <w:rPr>
      <w:b/>
      <w:bCs/>
    </w:rPr>
  </w:style>
  <w:style w:type="paragraph" w:customStyle="1" w:styleId="Default">
    <w:name w:val="Default"/>
    <w:rsid w:val="00F86B46"/>
    <w:pPr>
      <w:autoSpaceDE w:val="0"/>
      <w:autoSpaceDN w:val="0"/>
      <w:adjustRightInd w:val="0"/>
    </w:pPr>
    <w:rPr>
      <w:rFonts w:ascii="Droid Sans Fallback" w:eastAsia="Droid Sans Fallback" w:cs="Droid Sans Fallback"/>
      <w:color w:val="000000"/>
      <w:sz w:val="24"/>
      <w:szCs w:val="24"/>
    </w:rPr>
  </w:style>
  <w:style w:type="paragraph" w:styleId="a7">
    <w:name w:val="header"/>
    <w:basedOn w:val="a"/>
    <w:link w:val="a8"/>
    <w:uiPriority w:val="99"/>
    <w:unhideWhenUsed/>
    <w:rsid w:val="00A62924"/>
    <w:pPr>
      <w:tabs>
        <w:tab w:val="center" w:pos="4320"/>
        <w:tab w:val="right" w:pos="8640"/>
      </w:tabs>
      <w:spacing w:line="240" w:lineRule="auto"/>
    </w:pPr>
    <w:rPr>
      <w:lang w:val="x-none" w:eastAsia="x-none"/>
    </w:rPr>
  </w:style>
  <w:style w:type="character" w:customStyle="1" w:styleId="a8">
    <w:name w:val="頁首 字元"/>
    <w:link w:val="a7"/>
    <w:uiPriority w:val="99"/>
    <w:rsid w:val="00A62924"/>
    <w:rPr>
      <w:sz w:val="24"/>
    </w:rPr>
  </w:style>
  <w:style w:type="paragraph" w:styleId="a9">
    <w:name w:val="footer"/>
    <w:basedOn w:val="a"/>
    <w:link w:val="aa"/>
    <w:uiPriority w:val="99"/>
    <w:unhideWhenUsed/>
    <w:rsid w:val="00A62924"/>
    <w:pPr>
      <w:tabs>
        <w:tab w:val="center" w:pos="4320"/>
        <w:tab w:val="right" w:pos="8640"/>
      </w:tabs>
      <w:spacing w:line="240" w:lineRule="auto"/>
    </w:pPr>
    <w:rPr>
      <w:lang w:val="x-none" w:eastAsia="x-none"/>
    </w:rPr>
  </w:style>
  <w:style w:type="character" w:customStyle="1" w:styleId="aa">
    <w:name w:val="頁尾 字元"/>
    <w:link w:val="a9"/>
    <w:uiPriority w:val="99"/>
    <w:rsid w:val="00A62924"/>
    <w:rPr>
      <w:sz w:val="24"/>
    </w:rPr>
  </w:style>
  <w:style w:type="paragraph" w:styleId="ab">
    <w:name w:val="Plain Text"/>
    <w:basedOn w:val="a"/>
    <w:link w:val="ac"/>
    <w:uiPriority w:val="99"/>
    <w:unhideWhenUsed/>
    <w:rsid w:val="00E6750F"/>
    <w:pPr>
      <w:widowControl/>
      <w:adjustRightInd/>
      <w:spacing w:line="240" w:lineRule="auto"/>
      <w:textAlignment w:val="auto"/>
    </w:pPr>
    <w:rPr>
      <w:rFonts w:ascii="Consolas" w:eastAsia="新細明體" w:hAnsi="Consolas"/>
      <w:sz w:val="21"/>
      <w:szCs w:val="21"/>
      <w:lang w:val="x-none" w:eastAsia="x-none"/>
    </w:rPr>
  </w:style>
  <w:style w:type="character" w:customStyle="1" w:styleId="ac">
    <w:name w:val="純文字 字元"/>
    <w:link w:val="ab"/>
    <w:uiPriority w:val="99"/>
    <w:rsid w:val="00E6750F"/>
    <w:rPr>
      <w:rFonts w:ascii="Consolas" w:eastAsia="新細明體" w:hAnsi="Consolas" w:cs="Times New Roman"/>
      <w:sz w:val="21"/>
      <w:szCs w:val="21"/>
    </w:rPr>
  </w:style>
  <w:style w:type="paragraph" w:styleId="ad">
    <w:name w:val="Balloon Text"/>
    <w:basedOn w:val="a"/>
    <w:link w:val="ae"/>
    <w:uiPriority w:val="99"/>
    <w:semiHidden/>
    <w:unhideWhenUsed/>
    <w:rsid w:val="008E6980"/>
    <w:pPr>
      <w:spacing w:line="240" w:lineRule="auto"/>
    </w:pPr>
    <w:rPr>
      <w:rFonts w:ascii="Calibri Light" w:eastAsia="新細明體" w:hAnsi="Calibri Light"/>
      <w:sz w:val="18"/>
      <w:szCs w:val="18"/>
    </w:rPr>
  </w:style>
  <w:style w:type="character" w:customStyle="1" w:styleId="ae">
    <w:name w:val="註解方塊文字 字元"/>
    <w:link w:val="ad"/>
    <w:uiPriority w:val="99"/>
    <w:semiHidden/>
    <w:rsid w:val="008E6980"/>
    <w:rPr>
      <w:rFonts w:ascii="Calibri Light" w:eastAsia="新細明體" w:hAnsi="Calibri Light" w:cs="Times New Roman"/>
      <w:sz w:val="18"/>
      <w:szCs w:val="18"/>
    </w:rPr>
  </w:style>
  <w:style w:type="paragraph" w:styleId="af">
    <w:name w:val="List Paragraph"/>
    <w:basedOn w:val="a"/>
    <w:link w:val="af0"/>
    <w:uiPriority w:val="34"/>
    <w:qFormat/>
    <w:rsid w:val="00CB6C33"/>
    <w:pPr>
      <w:adjustRightInd/>
      <w:spacing w:line="240" w:lineRule="auto"/>
      <w:ind w:leftChars="200" w:left="480"/>
      <w:textAlignment w:val="auto"/>
    </w:pPr>
    <w:rPr>
      <w:rFonts w:ascii="Calibri" w:eastAsia="新細明體" w:hAnsi="Calibri"/>
      <w:color w:val="000000"/>
      <w:kern w:val="2"/>
      <w:szCs w:val="22"/>
    </w:rPr>
  </w:style>
  <w:style w:type="character" w:customStyle="1" w:styleId="af0">
    <w:name w:val="清單段落 字元"/>
    <w:link w:val="af"/>
    <w:uiPriority w:val="34"/>
    <w:rsid w:val="00CB6C33"/>
    <w:rPr>
      <w:rFonts w:ascii="Calibri" w:eastAsia="新細明體" w:hAnsi="Calibri"/>
      <w:color w:val="000000"/>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241876">
      <w:bodyDiv w:val="1"/>
      <w:marLeft w:val="0"/>
      <w:marRight w:val="0"/>
      <w:marTop w:val="0"/>
      <w:marBottom w:val="0"/>
      <w:divBdr>
        <w:top w:val="none" w:sz="0" w:space="0" w:color="auto"/>
        <w:left w:val="none" w:sz="0" w:space="0" w:color="auto"/>
        <w:bottom w:val="none" w:sz="0" w:space="0" w:color="auto"/>
        <w:right w:val="none" w:sz="0" w:space="0" w:color="auto"/>
      </w:divBdr>
    </w:div>
    <w:div w:id="206360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Wong</dc:creator>
  <cp:keywords/>
  <cp:lastModifiedBy>Simmy Ho</cp:lastModifiedBy>
  <cp:revision>4</cp:revision>
  <cp:lastPrinted>2018-11-20T09:20:00Z</cp:lastPrinted>
  <dcterms:created xsi:type="dcterms:W3CDTF">2018-11-28T06:52:00Z</dcterms:created>
  <dcterms:modified xsi:type="dcterms:W3CDTF">2018-11-28T07:02:00Z</dcterms:modified>
</cp:coreProperties>
</file>